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46F" w:rsidRDefault="00D6346F" w:rsidP="00D6346F">
      <w:pPr>
        <w:autoSpaceDE w:val="0"/>
        <w:autoSpaceDN w:val="0"/>
        <w:adjustRightInd w:val="0"/>
        <w:spacing w:after="0" w:line="240" w:lineRule="auto"/>
        <w:rPr>
          <w:rFonts w:ascii="Times New Roman" w:hAnsi="Times New Roman" w:cs="Times New Roman"/>
          <w:b/>
          <w:sz w:val="24"/>
          <w:szCs w:val="24"/>
        </w:rPr>
      </w:pPr>
      <w:bookmarkStart w:id="0" w:name="_GoBack"/>
      <w:bookmarkEnd w:id="0"/>
      <w:proofErr w:type="spellStart"/>
      <w:r>
        <w:rPr>
          <w:rFonts w:ascii="Times New Roman" w:hAnsi="Times New Roman" w:cs="Times New Roman"/>
          <w:b/>
          <w:sz w:val="24"/>
          <w:szCs w:val="24"/>
        </w:rPr>
        <w:t>M.Voskanyan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Avanesyan</w:t>
      </w:r>
      <w:proofErr w:type="spellEnd"/>
      <w:r>
        <w:rPr>
          <w:rFonts w:ascii="Times New Roman" w:hAnsi="Times New Roman" w:cs="Times New Roman"/>
          <w:b/>
          <w:sz w:val="24"/>
          <w:szCs w:val="24"/>
        </w:rPr>
        <w:t xml:space="preserve"> A.</w:t>
      </w:r>
    </w:p>
    <w:p w:rsidR="00D6346F" w:rsidRDefault="00D6346F" w:rsidP="00D6346F">
      <w:pPr>
        <w:autoSpaceDE w:val="0"/>
        <w:autoSpaceDN w:val="0"/>
        <w:adjustRightInd w:val="0"/>
        <w:spacing w:after="0" w:line="240" w:lineRule="auto"/>
        <w:rPr>
          <w:rFonts w:ascii="Times New Roman" w:hAnsi="Times New Roman" w:cs="Times New Roman"/>
          <w:b/>
          <w:sz w:val="24"/>
          <w:szCs w:val="24"/>
        </w:rPr>
      </w:pPr>
    </w:p>
    <w:p w:rsidR="00D6346F" w:rsidRPr="00D6346F" w:rsidRDefault="00D6346F" w:rsidP="00D6346F">
      <w:pPr>
        <w:autoSpaceDE w:val="0"/>
        <w:autoSpaceDN w:val="0"/>
        <w:adjustRightInd w:val="0"/>
        <w:spacing w:after="0" w:line="240" w:lineRule="auto"/>
        <w:rPr>
          <w:rFonts w:ascii="Times New Roman" w:hAnsi="Times New Roman" w:cs="Times New Roman"/>
          <w:b/>
          <w:sz w:val="24"/>
          <w:szCs w:val="24"/>
        </w:rPr>
      </w:pPr>
      <w:r w:rsidRPr="00D6346F">
        <w:rPr>
          <w:rFonts w:ascii="Times New Roman" w:hAnsi="Times New Roman" w:cs="Times New Roman"/>
          <w:b/>
          <w:sz w:val="24"/>
          <w:szCs w:val="24"/>
        </w:rPr>
        <w:t>ARMENIAN PENSION SYSTEM REFORM: PROBLEMS, PROSPECTS, OPPORTUNITIES.</w:t>
      </w:r>
    </w:p>
    <w:p w:rsidR="00D6346F" w:rsidRPr="00D6346F" w:rsidRDefault="00D6346F" w:rsidP="00FC3587">
      <w:pPr>
        <w:spacing w:after="0" w:line="240" w:lineRule="auto"/>
        <w:jc w:val="both"/>
        <w:rPr>
          <w:rFonts w:ascii="Times New Roman" w:hAnsi="Times New Roman" w:cs="Times New Roman"/>
          <w:sz w:val="24"/>
          <w:szCs w:val="24"/>
        </w:rPr>
      </w:pPr>
    </w:p>
    <w:p w:rsidR="00FC3587" w:rsidRPr="00D712D0" w:rsidRDefault="00FC3587" w:rsidP="00FC3587">
      <w:pPr>
        <w:spacing w:after="0" w:line="240" w:lineRule="auto"/>
        <w:jc w:val="both"/>
        <w:rPr>
          <w:rFonts w:ascii="Times New Roman" w:hAnsi="Times New Roman" w:cs="Times New Roman"/>
          <w:sz w:val="24"/>
          <w:szCs w:val="24"/>
        </w:rPr>
      </w:pPr>
      <w:r w:rsidRPr="00D712D0">
        <w:rPr>
          <w:rFonts w:ascii="Times New Roman" w:hAnsi="Times New Roman" w:cs="Times New Roman"/>
          <w:sz w:val="24"/>
          <w:szCs w:val="24"/>
        </w:rPr>
        <w:t>Key words: pension system, reform, transition economy.</w:t>
      </w:r>
    </w:p>
    <w:p w:rsidR="00FC3587" w:rsidRPr="00D712D0" w:rsidRDefault="00FC3587" w:rsidP="00FC3587">
      <w:pPr>
        <w:spacing w:after="0" w:line="240" w:lineRule="auto"/>
        <w:jc w:val="both"/>
        <w:rPr>
          <w:rFonts w:ascii="Times New Roman" w:hAnsi="Times New Roman" w:cs="Times New Roman"/>
          <w:sz w:val="24"/>
          <w:szCs w:val="24"/>
        </w:rPr>
      </w:pPr>
    </w:p>
    <w:p w:rsidR="00FC3587" w:rsidRPr="008E17EA" w:rsidRDefault="00D712D0" w:rsidP="00FC3587">
      <w:pPr>
        <w:spacing w:after="0" w:line="240" w:lineRule="auto"/>
        <w:jc w:val="both"/>
        <w:rPr>
          <w:rFonts w:ascii="Times New Roman" w:hAnsi="Times New Roman" w:cs="Times New Roman"/>
          <w:b/>
          <w:sz w:val="24"/>
          <w:szCs w:val="24"/>
        </w:rPr>
      </w:pPr>
      <w:r w:rsidRPr="008E17EA">
        <w:rPr>
          <w:rFonts w:ascii="Times New Roman" w:hAnsi="Times New Roman" w:cs="Times New Roman"/>
          <w:b/>
          <w:sz w:val="24"/>
          <w:szCs w:val="24"/>
        </w:rPr>
        <w:t>Abstract</w:t>
      </w:r>
    </w:p>
    <w:p w:rsidR="00FC3587" w:rsidRPr="00D712D0" w:rsidRDefault="00FC3587" w:rsidP="00FC3587">
      <w:pPr>
        <w:spacing w:after="0" w:line="240" w:lineRule="auto"/>
        <w:jc w:val="both"/>
        <w:rPr>
          <w:rFonts w:ascii="Times New Roman" w:hAnsi="Times New Roman" w:cs="Times New Roman"/>
          <w:sz w:val="24"/>
          <w:szCs w:val="24"/>
        </w:rPr>
      </w:pPr>
    </w:p>
    <w:p w:rsidR="00037AEA" w:rsidRPr="00D712D0" w:rsidRDefault="00A5225F" w:rsidP="00FC3587">
      <w:pPr>
        <w:spacing w:after="0" w:line="240" w:lineRule="auto"/>
        <w:jc w:val="both"/>
        <w:rPr>
          <w:rFonts w:ascii="Times New Roman" w:hAnsi="Times New Roman" w:cs="Times New Roman"/>
          <w:sz w:val="24"/>
          <w:szCs w:val="24"/>
        </w:rPr>
      </w:pPr>
      <w:r w:rsidRPr="00D712D0">
        <w:rPr>
          <w:rFonts w:ascii="Times New Roman" w:hAnsi="Times New Roman" w:cs="Times New Roman"/>
          <w:sz w:val="24"/>
          <w:szCs w:val="24"/>
        </w:rPr>
        <w:tab/>
        <w:t xml:space="preserve">Pension system has been around for </w:t>
      </w:r>
      <w:r w:rsidR="00F115B5" w:rsidRPr="00D712D0">
        <w:rPr>
          <w:rFonts w:ascii="Times New Roman" w:hAnsi="Times New Roman" w:cs="Times New Roman"/>
          <w:sz w:val="24"/>
          <w:szCs w:val="24"/>
        </w:rPr>
        <w:t>quite</w:t>
      </w:r>
      <w:r w:rsidRPr="00D712D0">
        <w:rPr>
          <w:rFonts w:ascii="Times New Roman" w:hAnsi="Times New Roman" w:cs="Times New Roman"/>
          <w:sz w:val="24"/>
          <w:szCs w:val="24"/>
        </w:rPr>
        <w:t xml:space="preserve"> some time, so it is not surprising that there are many ways that a </w:t>
      </w:r>
      <w:r w:rsidR="005B4A3B" w:rsidRPr="00D712D0">
        <w:rPr>
          <w:rFonts w:ascii="Times New Roman" w:hAnsi="Times New Roman" w:cs="Times New Roman"/>
          <w:sz w:val="24"/>
          <w:szCs w:val="24"/>
        </w:rPr>
        <w:t>country</w:t>
      </w:r>
      <w:r w:rsidRPr="00D712D0">
        <w:rPr>
          <w:rFonts w:ascii="Times New Roman" w:hAnsi="Times New Roman" w:cs="Times New Roman"/>
          <w:sz w:val="24"/>
          <w:szCs w:val="24"/>
        </w:rPr>
        <w:t xml:space="preserve"> can engineer an elderly support system. However, despite the large amount of pension system models, none of them is considered perfect</w:t>
      </w:r>
      <w:r w:rsidR="00037AEA" w:rsidRPr="00D712D0">
        <w:rPr>
          <w:rFonts w:ascii="Times New Roman" w:hAnsi="Times New Roman" w:cs="Times New Roman"/>
          <w:sz w:val="24"/>
          <w:szCs w:val="24"/>
        </w:rPr>
        <w:t xml:space="preserve">/effective. The </w:t>
      </w:r>
      <w:r w:rsidR="00B67933" w:rsidRPr="00D712D0">
        <w:rPr>
          <w:rFonts w:ascii="Times New Roman" w:hAnsi="Times New Roman" w:cs="Times New Roman"/>
          <w:sz w:val="24"/>
          <w:szCs w:val="24"/>
        </w:rPr>
        <w:t>issue</w:t>
      </w:r>
      <w:r w:rsidR="00037AEA" w:rsidRPr="00D712D0">
        <w:rPr>
          <w:rFonts w:ascii="Times New Roman" w:hAnsi="Times New Roman" w:cs="Times New Roman"/>
          <w:sz w:val="24"/>
          <w:szCs w:val="24"/>
        </w:rPr>
        <w:t xml:space="preserve"> of constructing an effective pension system is especially sharp in developing</w:t>
      </w:r>
      <w:r w:rsidR="00B67933" w:rsidRPr="00D712D0">
        <w:rPr>
          <w:rFonts w:ascii="Times New Roman" w:hAnsi="Times New Roman" w:cs="Times New Roman"/>
          <w:sz w:val="24"/>
          <w:szCs w:val="24"/>
        </w:rPr>
        <w:t xml:space="preserve"> and transition</w:t>
      </w:r>
      <w:r w:rsidR="00D712D0" w:rsidRPr="00D712D0">
        <w:rPr>
          <w:rFonts w:ascii="Times New Roman" w:hAnsi="Times New Roman" w:cs="Times New Roman"/>
          <w:sz w:val="24"/>
          <w:szCs w:val="24"/>
        </w:rPr>
        <w:t xml:space="preserve"> economy</w:t>
      </w:r>
      <w:r w:rsidR="00037AEA" w:rsidRPr="00D712D0">
        <w:rPr>
          <w:rFonts w:ascii="Times New Roman" w:hAnsi="Times New Roman" w:cs="Times New Roman"/>
          <w:sz w:val="24"/>
          <w:szCs w:val="24"/>
        </w:rPr>
        <w:t xml:space="preserve"> countries, where most of the pension system</w:t>
      </w:r>
      <w:r w:rsidR="006006E6" w:rsidRPr="00D712D0">
        <w:rPr>
          <w:rFonts w:ascii="Times New Roman" w:hAnsi="Times New Roman" w:cs="Times New Roman"/>
          <w:sz w:val="24"/>
          <w:szCs w:val="24"/>
        </w:rPr>
        <w:t>s</w:t>
      </w:r>
      <w:r w:rsidR="00037AEA" w:rsidRPr="00D712D0">
        <w:rPr>
          <w:rFonts w:ascii="Times New Roman" w:hAnsi="Times New Roman" w:cs="Times New Roman"/>
          <w:sz w:val="24"/>
          <w:szCs w:val="24"/>
        </w:rPr>
        <w:t xml:space="preserve"> </w:t>
      </w:r>
      <w:r w:rsidR="006006E6" w:rsidRPr="00D712D0">
        <w:rPr>
          <w:rFonts w:ascii="Times New Roman" w:hAnsi="Times New Roman" w:cs="Times New Roman"/>
          <w:sz w:val="24"/>
          <w:szCs w:val="24"/>
        </w:rPr>
        <w:t>are publicly managed, and local governments often prove to be ineffective at managing the system</w:t>
      </w:r>
      <w:r w:rsidR="00830EEC" w:rsidRPr="00D712D0">
        <w:rPr>
          <w:rFonts w:ascii="Times New Roman" w:hAnsi="Times New Roman" w:cs="Times New Roman"/>
          <w:sz w:val="24"/>
          <w:szCs w:val="24"/>
        </w:rPr>
        <w:t xml:space="preserve">, </w:t>
      </w:r>
      <w:r w:rsidR="00D712D0" w:rsidRPr="00D712D0">
        <w:rPr>
          <w:rFonts w:ascii="Times New Roman" w:hAnsi="Times New Roman" w:cs="Times New Roman"/>
          <w:sz w:val="24"/>
          <w:szCs w:val="24"/>
        </w:rPr>
        <w:t xml:space="preserve">in this regard </w:t>
      </w:r>
      <w:r w:rsidR="00830EEC" w:rsidRPr="00D712D0">
        <w:rPr>
          <w:rFonts w:ascii="Times New Roman" w:hAnsi="Times New Roman" w:cs="Times New Roman"/>
          <w:sz w:val="24"/>
          <w:szCs w:val="24"/>
        </w:rPr>
        <w:t xml:space="preserve">Republic of Armenia is not an exception. </w:t>
      </w:r>
    </w:p>
    <w:p w:rsidR="00037AEA" w:rsidRPr="00D712D0" w:rsidRDefault="00037AEA" w:rsidP="00FC3587">
      <w:pPr>
        <w:spacing w:after="0" w:line="240" w:lineRule="auto"/>
        <w:jc w:val="both"/>
        <w:rPr>
          <w:rFonts w:ascii="Times New Roman" w:hAnsi="Times New Roman" w:cs="Times New Roman"/>
          <w:sz w:val="24"/>
          <w:szCs w:val="24"/>
        </w:rPr>
      </w:pPr>
      <w:r w:rsidRPr="00D712D0">
        <w:rPr>
          <w:rFonts w:ascii="Times New Roman" w:hAnsi="Times New Roman" w:cs="Times New Roman"/>
          <w:sz w:val="24"/>
          <w:szCs w:val="24"/>
        </w:rPr>
        <w:tab/>
        <w:t xml:space="preserve">One may think that the </w:t>
      </w:r>
      <w:r w:rsidR="006006E6" w:rsidRPr="00D712D0">
        <w:rPr>
          <w:rFonts w:ascii="Times New Roman" w:hAnsi="Times New Roman" w:cs="Times New Roman"/>
          <w:sz w:val="24"/>
          <w:szCs w:val="24"/>
        </w:rPr>
        <w:t>developed countries should have developed some kind of “most effective” pension system model, but this would only partially be true. Although the developed countries usually have much more effective pension systems (both privately and publicly managed</w:t>
      </w:r>
      <w:r w:rsidR="00B67933" w:rsidRPr="00D712D0">
        <w:rPr>
          <w:rFonts w:ascii="Times New Roman" w:hAnsi="Times New Roman" w:cs="Times New Roman"/>
          <w:sz w:val="24"/>
          <w:szCs w:val="24"/>
        </w:rPr>
        <w:t xml:space="preserve">) than developing and transition countries, they are generally considered at </w:t>
      </w:r>
      <w:r w:rsidR="00B00C00" w:rsidRPr="00D712D0">
        <w:rPr>
          <w:rFonts w:ascii="Times New Roman" w:hAnsi="Times New Roman" w:cs="Times New Roman"/>
          <w:sz w:val="24"/>
          <w:szCs w:val="24"/>
        </w:rPr>
        <w:t>least</w:t>
      </w:r>
      <w:r w:rsidR="00B67933" w:rsidRPr="00D712D0">
        <w:rPr>
          <w:rFonts w:ascii="Times New Roman" w:hAnsi="Times New Roman" w:cs="Times New Roman"/>
          <w:sz w:val="24"/>
          <w:szCs w:val="24"/>
        </w:rPr>
        <w:t xml:space="preserve"> “non-perfect”.</w:t>
      </w:r>
    </w:p>
    <w:p w:rsidR="00010028" w:rsidRPr="00D712D0" w:rsidRDefault="00010028" w:rsidP="00FC3587">
      <w:pPr>
        <w:spacing w:after="0" w:line="240" w:lineRule="auto"/>
        <w:jc w:val="both"/>
        <w:rPr>
          <w:rFonts w:ascii="Times New Roman" w:hAnsi="Times New Roman" w:cs="Times New Roman"/>
          <w:sz w:val="24"/>
          <w:szCs w:val="24"/>
        </w:rPr>
      </w:pPr>
    </w:p>
    <w:p w:rsidR="00426385" w:rsidRPr="00D712D0" w:rsidRDefault="00010028" w:rsidP="00FC3587">
      <w:pPr>
        <w:spacing w:after="0" w:line="240" w:lineRule="auto"/>
        <w:jc w:val="both"/>
        <w:rPr>
          <w:rFonts w:ascii="Times New Roman" w:hAnsi="Times New Roman" w:cs="Times New Roman"/>
          <w:sz w:val="24"/>
          <w:szCs w:val="24"/>
          <w:lang w:val="hy-AM"/>
        </w:rPr>
      </w:pPr>
      <w:r w:rsidRPr="00D712D0">
        <w:rPr>
          <w:rFonts w:ascii="Times New Roman" w:hAnsi="Times New Roman" w:cs="Times New Roman"/>
          <w:sz w:val="24"/>
          <w:szCs w:val="24"/>
        </w:rPr>
        <w:tab/>
        <w:t xml:space="preserve">Each country, whether it is OECD member or transition economy, is working to improve </w:t>
      </w:r>
      <w:r w:rsidR="00601833" w:rsidRPr="00D712D0">
        <w:rPr>
          <w:rFonts w:ascii="Times New Roman" w:hAnsi="Times New Roman" w:cs="Times New Roman"/>
          <w:sz w:val="24"/>
          <w:szCs w:val="24"/>
        </w:rPr>
        <w:t>its</w:t>
      </w:r>
      <w:r w:rsidRPr="00D712D0">
        <w:rPr>
          <w:rFonts w:ascii="Times New Roman" w:hAnsi="Times New Roman" w:cs="Times New Roman"/>
          <w:sz w:val="24"/>
          <w:szCs w:val="24"/>
        </w:rPr>
        <w:t xml:space="preserve"> p</w:t>
      </w:r>
      <w:r w:rsidR="00426385" w:rsidRPr="00D712D0">
        <w:rPr>
          <w:rFonts w:ascii="Times New Roman" w:hAnsi="Times New Roman" w:cs="Times New Roman"/>
          <w:sz w:val="24"/>
          <w:szCs w:val="24"/>
        </w:rPr>
        <w:t>ension system,</w:t>
      </w:r>
      <w:r w:rsidRPr="00D712D0">
        <w:rPr>
          <w:rFonts w:ascii="Times New Roman" w:hAnsi="Times New Roman" w:cs="Times New Roman"/>
          <w:sz w:val="24"/>
          <w:szCs w:val="24"/>
        </w:rPr>
        <w:t xml:space="preserve"> </w:t>
      </w:r>
      <w:r w:rsidR="00426385" w:rsidRPr="00D712D0">
        <w:rPr>
          <w:rFonts w:ascii="Times New Roman" w:hAnsi="Times New Roman" w:cs="Times New Roman"/>
          <w:sz w:val="24"/>
          <w:szCs w:val="24"/>
        </w:rPr>
        <w:t>and once again, Armenia is no different. To improve the current situation with elderly support, the government of RA has initiated a thorough and cardinal reform of operating pension system. Thus in 2010 legislation on “funded pensions” was passed, according to which Republic of Armenia is going to replace the «old» PAYG model with a mult</w:t>
      </w:r>
      <w:r w:rsidR="00F115B5" w:rsidRPr="00D712D0">
        <w:rPr>
          <w:rFonts w:ascii="Times New Roman" w:hAnsi="Times New Roman" w:cs="Times New Roman"/>
          <w:sz w:val="24"/>
          <w:szCs w:val="24"/>
          <w:lang w:val="hy-AM"/>
        </w:rPr>
        <w:t>y</w:t>
      </w:r>
      <w:r w:rsidR="00426385" w:rsidRPr="00D712D0">
        <w:rPr>
          <w:rFonts w:ascii="Times New Roman" w:hAnsi="Times New Roman" w:cs="Times New Roman"/>
          <w:sz w:val="24"/>
          <w:szCs w:val="24"/>
        </w:rPr>
        <w:t xml:space="preserve">pillar funded pension </w:t>
      </w:r>
      <w:r w:rsidR="00D712D0" w:rsidRPr="00D712D0">
        <w:rPr>
          <w:rFonts w:ascii="Times New Roman" w:hAnsi="Times New Roman" w:cs="Times New Roman"/>
          <w:sz w:val="24"/>
          <w:szCs w:val="24"/>
        </w:rPr>
        <w:t>system</w:t>
      </w:r>
      <w:r w:rsidR="00426385" w:rsidRPr="00D712D0">
        <w:rPr>
          <w:rFonts w:ascii="Times New Roman" w:hAnsi="Times New Roman" w:cs="Times New Roman"/>
          <w:sz w:val="24"/>
          <w:szCs w:val="24"/>
        </w:rPr>
        <w:t xml:space="preserve"> in 2014. Main goals of the reform are as stated: budget deficit reduction, </w:t>
      </w:r>
      <w:r w:rsidR="005A1C52" w:rsidRPr="00D712D0">
        <w:rPr>
          <w:rFonts w:ascii="Times New Roman" w:hAnsi="Times New Roman" w:cs="Times New Roman"/>
          <w:sz w:val="24"/>
          <w:szCs w:val="24"/>
        </w:rPr>
        <w:t xml:space="preserve">increase in the wage substitution rate, </w:t>
      </w:r>
      <w:r w:rsidR="00F115B5" w:rsidRPr="00D712D0">
        <w:rPr>
          <w:rFonts w:ascii="Times New Roman" w:hAnsi="Times New Roman" w:cs="Times New Roman"/>
          <w:sz w:val="24"/>
          <w:szCs w:val="24"/>
        </w:rPr>
        <w:t>national</w:t>
      </w:r>
      <w:r w:rsidR="005A1C52" w:rsidRPr="00D712D0">
        <w:rPr>
          <w:rFonts w:ascii="Times New Roman" w:hAnsi="Times New Roman" w:cs="Times New Roman"/>
          <w:sz w:val="24"/>
          <w:szCs w:val="24"/>
        </w:rPr>
        <w:t xml:space="preserve"> savings accumulation as well as increasing general financial literacy of the population /as a side goal/. </w:t>
      </w:r>
      <w:r w:rsidR="0073039D" w:rsidRPr="00D712D0">
        <w:rPr>
          <w:rFonts w:ascii="Times New Roman" w:hAnsi="Times New Roman" w:cs="Times New Roman"/>
          <w:sz w:val="24"/>
          <w:szCs w:val="24"/>
        </w:rPr>
        <w:t xml:space="preserve">Despite the possible positive outcomes, there </w:t>
      </w:r>
      <w:r w:rsidR="00BC16D6" w:rsidRPr="00D712D0">
        <w:rPr>
          <w:rFonts w:ascii="Times New Roman" w:hAnsi="Times New Roman" w:cs="Times New Roman"/>
          <w:sz w:val="24"/>
          <w:szCs w:val="24"/>
        </w:rPr>
        <w:t xml:space="preserve">may be several negative results, which </w:t>
      </w:r>
      <w:r w:rsidR="00CD259E" w:rsidRPr="00D712D0">
        <w:rPr>
          <w:rFonts w:ascii="Times New Roman" w:hAnsi="Times New Roman" w:cs="Times New Roman"/>
          <w:sz w:val="24"/>
          <w:szCs w:val="24"/>
        </w:rPr>
        <w:t>can</w:t>
      </w:r>
      <w:r w:rsidR="00BC16D6" w:rsidRPr="00D712D0">
        <w:rPr>
          <w:rFonts w:ascii="Times New Roman" w:hAnsi="Times New Roman" w:cs="Times New Roman"/>
          <w:sz w:val="24"/>
          <w:szCs w:val="24"/>
        </w:rPr>
        <w:t xml:space="preserve"> </w:t>
      </w:r>
      <w:r w:rsidR="00CD259E" w:rsidRPr="00D712D0">
        <w:rPr>
          <w:rFonts w:ascii="Times New Roman" w:hAnsi="Times New Roman" w:cs="Times New Roman"/>
          <w:sz w:val="24"/>
          <w:szCs w:val="24"/>
        </w:rPr>
        <w:t>bring great losses upon</w:t>
      </w:r>
      <w:r w:rsidR="00BC16D6" w:rsidRPr="00D712D0">
        <w:rPr>
          <w:rFonts w:ascii="Times New Roman" w:hAnsi="Times New Roman" w:cs="Times New Roman"/>
          <w:sz w:val="24"/>
          <w:szCs w:val="24"/>
        </w:rPr>
        <w:t xml:space="preserve"> private and</w:t>
      </w:r>
      <w:r w:rsidR="00CD259E" w:rsidRPr="00D712D0">
        <w:rPr>
          <w:rFonts w:ascii="Times New Roman" w:hAnsi="Times New Roman" w:cs="Times New Roman"/>
          <w:sz w:val="24"/>
          <w:szCs w:val="24"/>
        </w:rPr>
        <w:t xml:space="preserve"> public sectors of Armenian economy</w:t>
      </w:r>
      <w:r w:rsidR="009672A5" w:rsidRPr="00D712D0">
        <w:rPr>
          <w:rFonts w:ascii="Times New Roman" w:hAnsi="Times New Roman" w:cs="Times New Roman"/>
          <w:sz w:val="24"/>
          <w:szCs w:val="24"/>
        </w:rPr>
        <w:t xml:space="preserve">. The main source of such risks is a number of «weak spots» in the reform. </w:t>
      </w:r>
    </w:p>
    <w:p w:rsidR="00C953EA" w:rsidRPr="00D712D0" w:rsidRDefault="00F115B5" w:rsidP="00C953EA">
      <w:pPr>
        <w:spacing w:after="0" w:line="240" w:lineRule="auto"/>
        <w:ind w:firstLine="708"/>
        <w:jc w:val="both"/>
        <w:rPr>
          <w:rFonts w:ascii="Times New Roman" w:hAnsi="Times New Roman" w:cs="Times New Roman"/>
          <w:sz w:val="24"/>
          <w:szCs w:val="24"/>
        </w:rPr>
      </w:pPr>
      <w:r w:rsidRPr="00D712D0">
        <w:rPr>
          <w:rFonts w:ascii="Times New Roman" w:hAnsi="Times New Roman" w:cs="Times New Roman"/>
          <w:sz w:val="24"/>
          <w:szCs w:val="24"/>
        </w:rPr>
        <w:t>Considering</w:t>
      </w:r>
      <w:r w:rsidR="00C953EA" w:rsidRPr="00D712D0">
        <w:rPr>
          <w:rFonts w:ascii="Times New Roman" w:hAnsi="Times New Roman" w:cs="Times New Roman"/>
          <w:sz w:val="24"/>
          <w:szCs w:val="24"/>
        </w:rPr>
        <w:t xml:space="preserve"> the possibilities mentioned above, we assume, that the issue of Armenian pension system reform is important enough to be </w:t>
      </w:r>
      <w:r w:rsidRPr="00D712D0">
        <w:rPr>
          <w:rFonts w:ascii="Times New Roman" w:hAnsi="Times New Roman" w:cs="Times New Roman"/>
          <w:sz w:val="24"/>
          <w:szCs w:val="24"/>
        </w:rPr>
        <w:t>thoroughly</w:t>
      </w:r>
      <w:r w:rsidR="00C953EA" w:rsidRPr="00D712D0">
        <w:rPr>
          <w:rFonts w:ascii="Times New Roman" w:hAnsi="Times New Roman" w:cs="Times New Roman"/>
          <w:sz w:val="24"/>
          <w:szCs w:val="24"/>
        </w:rPr>
        <w:t xml:space="preserve"> researched and discussed. </w:t>
      </w:r>
    </w:p>
    <w:p w:rsidR="00F115B5" w:rsidRPr="00D712D0" w:rsidRDefault="00F115B5" w:rsidP="004E1C58">
      <w:pPr>
        <w:spacing w:after="0" w:line="240" w:lineRule="auto"/>
        <w:ind w:firstLine="708"/>
        <w:jc w:val="both"/>
        <w:rPr>
          <w:rFonts w:ascii="Times New Roman" w:eastAsia="Calibri" w:hAnsi="Times New Roman" w:cs="Times New Roman"/>
          <w:sz w:val="24"/>
          <w:szCs w:val="24"/>
          <w:lang w:val="hy-AM"/>
        </w:rPr>
      </w:pPr>
      <w:r w:rsidRPr="00D712D0">
        <w:rPr>
          <w:rFonts w:ascii="Times New Roman" w:eastAsia="Calibri" w:hAnsi="Times New Roman" w:cs="Times New Roman"/>
          <w:sz w:val="24"/>
          <w:szCs w:val="24"/>
        </w:rPr>
        <w:t xml:space="preserve">Current Armenian pension system model is an adapted version of PAYG system, </w:t>
      </w:r>
      <w:r w:rsidR="00121951">
        <w:rPr>
          <w:rFonts w:ascii="Times New Roman" w:eastAsia="Calibri" w:hAnsi="Times New Roman" w:cs="Times New Roman"/>
          <w:sz w:val="24"/>
          <w:szCs w:val="24"/>
        </w:rPr>
        <w:t>the latter</w:t>
      </w:r>
      <w:r w:rsidRPr="00D712D0">
        <w:rPr>
          <w:rFonts w:ascii="Times New Roman" w:eastAsia="Calibri" w:hAnsi="Times New Roman" w:cs="Times New Roman"/>
          <w:sz w:val="24"/>
          <w:szCs w:val="24"/>
        </w:rPr>
        <w:t xml:space="preserve"> is often referred</w:t>
      </w:r>
      <w:r w:rsidRPr="00D712D0">
        <w:rPr>
          <w:rFonts w:ascii="Times New Roman" w:eastAsia="Calibri" w:hAnsi="Times New Roman" w:cs="Times New Roman"/>
          <w:sz w:val="24"/>
          <w:szCs w:val="24"/>
          <w:lang w:val="hy-AM"/>
        </w:rPr>
        <w:t xml:space="preserve"> to</w:t>
      </w:r>
      <w:r w:rsidRPr="00D712D0">
        <w:rPr>
          <w:rFonts w:ascii="Times New Roman" w:eastAsia="Calibri" w:hAnsi="Times New Roman" w:cs="Times New Roman"/>
          <w:sz w:val="24"/>
          <w:szCs w:val="24"/>
        </w:rPr>
        <w:t xml:space="preserve"> as the «Bismarck model». This system puts the burden of sustaining the elderly on the current working population. The older version of Armenian PAYG (A-PAYG) was collecting mandatory social payments from</w:t>
      </w:r>
      <w:r w:rsidR="00330145" w:rsidRPr="00D712D0">
        <w:rPr>
          <w:rFonts w:ascii="Times New Roman" w:eastAsia="Calibri" w:hAnsi="Times New Roman" w:cs="Times New Roman"/>
          <w:sz w:val="24"/>
          <w:szCs w:val="24"/>
          <w:lang w:val="hy-AM"/>
        </w:rPr>
        <w:t xml:space="preserve"> the working population; those payments were then gathered in a «unified fund» (also «unified pot» principle), from where the actual allocation of funds to the population</w:t>
      </w:r>
      <w:r w:rsidR="004E1C58" w:rsidRPr="00D712D0">
        <w:rPr>
          <w:rFonts w:ascii="Times New Roman" w:eastAsia="Calibri" w:hAnsi="Times New Roman" w:cs="Times New Roman"/>
          <w:sz w:val="24"/>
          <w:szCs w:val="24"/>
          <w:lang w:val="hy-AM"/>
        </w:rPr>
        <w:t xml:space="preserve"> eligible for government funded social programmes</w:t>
      </w:r>
      <w:r w:rsidR="004E1C58" w:rsidRPr="00D712D0">
        <w:rPr>
          <w:rStyle w:val="a5"/>
          <w:rFonts w:ascii="Times New Roman" w:eastAsia="Calibri" w:hAnsi="Times New Roman" w:cs="Times New Roman"/>
          <w:sz w:val="24"/>
          <w:szCs w:val="24"/>
          <w:lang w:val="hy-AM"/>
        </w:rPr>
        <w:footnoteReference w:id="1"/>
      </w:r>
      <w:r w:rsidR="00330145" w:rsidRPr="00D712D0">
        <w:rPr>
          <w:rFonts w:ascii="Times New Roman" w:eastAsia="Calibri" w:hAnsi="Times New Roman" w:cs="Times New Roman"/>
          <w:sz w:val="24"/>
          <w:szCs w:val="24"/>
          <w:lang w:val="hy-AM"/>
        </w:rPr>
        <w:t xml:space="preserve"> took place.</w:t>
      </w:r>
      <w:r w:rsidR="005464C5" w:rsidRPr="00D712D0">
        <w:rPr>
          <w:rFonts w:ascii="Times New Roman" w:eastAsia="Calibri" w:hAnsi="Times New Roman" w:cs="Times New Roman"/>
          <w:sz w:val="24"/>
          <w:szCs w:val="24"/>
          <w:lang w:val="hy-AM"/>
        </w:rPr>
        <w:t xml:space="preserve"> </w:t>
      </w:r>
    </w:p>
    <w:p w:rsidR="0031351C" w:rsidRPr="00D712D0" w:rsidRDefault="00AA7FBE" w:rsidP="004E1C58">
      <w:pPr>
        <w:spacing w:after="0" w:line="240" w:lineRule="auto"/>
        <w:ind w:firstLine="708"/>
        <w:jc w:val="both"/>
        <w:rPr>
          <w:rFonts w:ascii="Times New Roman" w:eastAsia="Calibri" w:hAnsi="Times New Roman" w:cs="Times New Roman"/>
          <w:sz w:val="24"/>
          <w:szCs w:val="24"/>
          <w:lang w:val="hy-AM"/>
        </w:rPr>
      </w:pPr>
      <w:r w:rsidRPr="00D712D0">
        <w:rPr>
          <w:rFonts w:ascii="Times New Roman" w:eastAsia="Calibri" w:hAnsi="Times New Roman" w:cs="Times New Roman"/>
          <w:sz w:val="24"/>
          <w:szCs w:val="24"/>
          <w:lang w:val="hy-AM"/>
        </w:rPr>
        <w:t xml:space="preserve">The reform is based of several country experiences, as well as the «Averting the Old Age Crisis» research by World Bank (1994). The latter can be concidered a stepping stone or some king of «bile» for most of the pension system reforms through late nineties and the beggining of the 21st century. </w:t>
      </w:r>
      <w:r w:rsidR="0031351C" w:rsidRPr="00D712D0">
        <w:rPr>
          <w:rFonts w:ascii="Times New Roman" w:eastAsia="Calibri" w:hAnsi="Times New Roman" w:cs="Times New Roman"/>
          <w:sz w:val="24"/>
          <w:szCs w:val="24"/>
          <w:lang w:val="hy-AM"/>
        </w:rPr>
        <w:t>According to this paper, pension systems usually consist of combination of 3 fundamental pillars:</w:t>
      </w:r>
    </w:p>
    <w:p w:rsidR="0098147B" w:rsidRPr="00D712D0" w:rsidRDefault="0031351C" w:rsidP="0031351C">
      <w:pPr>
        <w:pStyle w:val="a7"/>
        <w:numPr>
          <w:ilvl w:val="0"/>
          <w:numId w:val="1"/>
        </w:numPr>
        <w:spacing w:after="0" w:line="240" w:lineRule="auto"/>
        <w:jc w:val="both"/>
        <w:rPr>
          <w:rFonts w:ascii="Times New Roman" w:eastAsia="Calibri" w:hAnsi="Times New Roman" w:cs="Times New Roman"/>
          <w:sz w:val="24"/>
          <w:szCs w:val="24"/>
          <w:lang w:val="hy-AM"/>
        </w:rPr>
      </w:pPr>
      <w:r w:rsidRPr="00D712D0">
        <w:rPr>
          <w:rFonts w:ascii="Times New Roman" w:eastAsia="Calibri" w:hAnsi="Times New Roman" w:cs="Times New Roman"/>
          <w:sz w:val="24"/>
          <w:szCs w:val="24"/>
          <w:lang w:val="hy-AM"/>
        </w:rPr>
        <w:t>The basic/social pension</w:t>
      </w:r>
    </w:p>
    <w:p w:rsidR="0031351C" w:rsidRPr="00D712D0" w:rsidRDefault="0031351C" w:rsidP="0031351C">
      <w:pPr>
        <w:pStyle w:val="a7"/>
        <w:numPr>
          <w:ilvl w:val="0"/>
          <w:numId w:val="1"/>
        </w:numPr>
        <w:spacing w:after="0" w:line="240" w:lineRule="auto"/>
        <w:jc w:val="both"/>
        <w:rPr>
          <w:rFonts w:ascii="Times New Roman" w:eastAsia="Calibri" w:hAnsi="Times New Roman" w:cs="Times New Roman"/>
          <w:sz w:val="24"/>
          <w:szCs w:val="24"/>
          <w:lang w:val="hy-AM"/>
        </w:rPr>
      </w:pPr>
      <w:r w:rsidRPr="00D712D0">
        <w:rPr>
          <w:rFonts w:ascii="Times New Roman" w:eastAsia="Calibri" w:hAnsi="Times New Roman" w:cs="Times New Roman"/>
          <w:sz w:val="24"/>
          <w:szCs w:val="24"/>
          <w:lang w:val="hy-AM"/>
        </w:rPr>
        <w:t>The mandatory funded pension</w:t>
      </w:r>
    </w:p>
    <w:p w:rsidR="0031351C" w:rsidRPr="00D712D0" w:rsidRDefault="0031351C" w:rsidP="0031351C">
      <w:pPr>
        <w:pStyle w:val="a7"/>
        <w:numPr>
          <w:ilvl w:val="0"/>
          <w:numId w:val="1"/>
        </w:numPr>
        <w:spacing w:after="0" w:line="240" w:lineRule="auto"/>
        <w:jc w:val="both"/>
        <w:rPr>
          <w:rFonts w:ascii="Times New Roman" w:eastAsia="Calibri" w:hAnsi="Times New Roman" w:cs="Times New Roman"/>
          <w:sz w:val="24"/>
          <w:szCs w:val="24"/>
          <w:lang w:val="hy-AM"/>
        </w:rPr>
      </w:pPr>
      <w:r w:rsidRPr="00D712D0">
        <w:rPr>
          <w:rFonts w:ascii="Times New Roman" w:eastAsia="Calibri" w:hAnsi="Times New Roman" w:cs="Times New Roman"/>
          <w:sz w:val="24"/>
          <w:szCs w:val="24"/>
          <w:lang w:val="hy-AM"/>
        </w:rPr>
        <w:t>The voluntary funded pension</w:t>
      </w:r>
    </w:p>
    <w:p w:rsidR="001D6108" w:rsidRPr="00D712D0" w:rsidRDefault="001D6108" w:rsidP="001D6108">
      <w:pPr>
        <w:spacing w:after="0" w:line="240" w:lineRule="auto"/>
        <w:jc w:val="both"/>
        <w:rPr>
          <w:rFonts w:ascii="Times New Roman" w:eastAsia="Calibri" w:hAnsi="Times New Roman" w:cs="Times New Roman"/>
          <w:sz w:val="24"/>
          <w:szCs w:val="24"/>
          <w:lang w:val="hy-AM"/>
        </w:rPr>
      </w:pPr>
    </w:p>
    <w:p w:rsidR="0031351C" w:rsidRPr="00D712D0" w:rsidRDefault="0031351C" w:rsidP="001D6108">
      <w:pPr>
        <w:spacing w:after="0" w:line="240" w:lineRule="auto"/>
        <w:ind w:firstLine="708"/>
        <w:jc w:val="both"/>
        <w:rPr>
          <w:rFonts w:ascii="Times New Roman" w:eastAsia="Calibri" w:hAnsi="Times New Roman" w:cs="Times New Roman"/>
          <w:sz w:val="24"/>
          <w:szCs w:val="24"/>
          <w:lang w:val="hy-AM"/>
        </w:rPr>
      </w:pPr>
      <w:r w:rsidRPr="00D712D0">
        <w:rPr>
          <w:rFonts w:ascii="Times New Roman" w:eastAsia="Calibri" w:hAnsi="Times New Roman" w:cs="Times New Roman"/>
          <w:sz w:val="24"/>
          <w:szCs w:val="24"/>
          <w:lang w:val="hy-AM"/>
        </w:rPr>
        <w:t xml:space="preserve">Later on, in 2010 2 more pillars were added: the zero pillar, represented by basic unconditional </w:t>
      </w:r>
      <w:r w:rsidR="004F5516" w:rsidRPr="00D712D0">
        <w:rPr>
          <w:rFonts w:ascii="Times New Roman" w:eastAsia="Calibri" w:hAnsi="Times New Roman" w:cs="Times New Roman"/>
          <w:sz w:val="24"/>
          <w:szCs w:val="24"/>
          <w:lang w:val="hy-AM"/>
        </w:rPr>
        <w:t>social pensions, and the 4th pillar, which was represented by social (non-official and non-mandatory) support of the elderly.</w:t>
      </w:r>
      <w:r w:rsidR="001D6108" w:rsidRPr="00D712D0">
        <w:rPr>
          <w:rFonts w:ascii="Times New Roman" w:eastAsia="Calibri" w:hAnsi="Times New Roman" w:cs="Times New Roman"/>
          <w:sz w:val="24"/>
          <w:szCs w:val="24"/>
          <w:lang w:val="hy-AM"/>
        </w:rPr>
        <w:t xml:space="preserve"> </w:t>
      </w:r>
    </w:p>
    <w:p w:rsidR="00A90465" w:rsidRPr="00D712D0" w:rsidRDefault="00720A27" w:rsidP="00A90465">
      <w:pPr>
        <w:spacing w:after="0" w:line="240" w:lineRule="auto"/>
        <w:ind w:firstLine="708"/>
        <w:jc w:val="both"/>
        <w:rPr>
          <w:rFonts w:ascii="Times New Roman" w:hAnsi="Times New Roman" w:cs="Times New Roman"/>
          <w:sz w:val="24"/>
          <w:szCs w:val="24"/>
          <w:lang w:val="hy-AM"/>
        </w:rPr>
      </w:pPr>
      <w:r w:rsidRPr="00D712D0">
        <w:rPr>
          <w:rFonts w:ascii="Times New Roman" w:hAnsi="Times New Roman" w:cs="Times New Roman"/>
          <w:sz w:val="24"/>
          <w:szCs w:val="24"/>
          <w:lang w:val="hy-AM"/>
        </w:rPr>
        <w:t>Main participants of the «new» pension system are going to be hired workers, as well as individual enterprenuers (self-employed) and registered notaries, born after year 1974. As soon as the system has started working, no «turn</w:t>
      </w:r>
      <w:r w:rsidR="00420C4D" w:rsidRPr="00D712D0">
        <w:rPr>
          <w:rFonts w:ascii="Times New Roman" w:hAnsi="Times New Roman" w:cs="Times New Roman"/>
          <w:sz w:val="24"/>
          <w:szCs w:val="24"/>
          <w:lang w:val="hy-AM"/>
        </w:rPr>
        <w:t>-back» sceanrio is possible for people born after 1974, meaning that the transition to th</w:t>
      </w:r>
      <w:r w:rsidR="009C4EE9" w:rsidRPr="00D712D0">
        <w:rPr>
          <w:rFonts w:ascii="Times New Roman" w:hAnsi="Times New Roman" w:cs="Times New Roman"/>
          <w:sz w:val="24"/>
          <w:szCs w:val="24"/>
          <w:lang w:val="hy-AM"/>
        </w:rPr>
        <w:t xml:space="preserve">e new system will be mandatory. The «new» pension system generates inputs from government and people eployed into a pension saving account. Government support is progressional, meaning that the higher </w:t>
      </w:r>
      <w:r w:rsidR="009C4EE9" w:rsidRPr="00D712D0">
        <w:rPr>
          <w:rFonts w:ascii="Times New Roman" w:hAnsi="Times New Roman" w:cs="Times New Roman"/>
          <w:sz w:val="24"/>
          <w:szCs w:val="24"/>
          <w:lang w:val="hy-AM"/>
        </w:rPr>
        <w:lastRenderedPageBreak/>
        <w:t>the wage/mandatory inputs, the more government support will be recieved</w:t>
      </w:r>
      <w:r w:rsidR="000C7B90" w:rsidRPr="00D712D0">
        <w:rPr>
          <w:rStyle w:val="a5"/>
          <w:rFonts w:ascii="Times New Roman" w:hAnsi="Times New Roman" w:cs="Times New Roman"/>
          <w:sz w:val="24"/>
          <w:szCs w:val="24"/>
          <w:lang w:val="hy-AM"/>
        </w:rPr>
        <w:footnoteReference w:id="2"/>
      </w:r>
      <w:r w:rsidR="000C7B90" w:rsidRPr="00D712D0">
        <w:rPr>
          <w:rFonts w:ascii="Times New Roman" w:hAnsi="Times New Roman" w:cs="Times New Roman"/>
          <w:sz w:val="24"/>
          <w:szCs w:val="24"/>
          <w:lang w:val="hy-AM"/>
        </w:rPr>
        <w:t>.</w:t>
      </w:r>
      <w:r w:rsidR="00F77E9C" w:rsidRPr="00D712D0">
        <w:rPr>
          <w:rFonts w:ascii="Times New Roman" w:hAnsi="Times New Roman" w:cs="Times New Roman"/>
          <w:sz w:val="24"/>
          <w:szCs w:val="24"/>
          <w:lang w:val="hy-AM"/>
        </w:rPr>
        <w:t xml:space="preserve"> The participants are beeing given an opportunity to buy shares of pension funds, </w:t>
      </w:r>
      <w:r w:rsidR="00187B06" w:rsidRPr="00D712D0">
        <w:rPr>
          <w:rFonts w:ascii="Times New Roman" w:hAnsi="Times New Roman" w:cs="Times New Roman"/>
          <w:sz w:val="24"/>
          <w:szCs w:val="24"/>
          <w:lang w:val="hy-AM"/>
        </w:rPr>
        <w:t>proportional to saving accumulated</w:t>
      </w:r>
      <w:r w:rsidR="002B2B53" w:rsidRPr="00D712D0">
        <w:rPr>
          <w:rFonts w:ascii="Times New Roman" w:hAnsi="Times New Roman" w:cs="Times New Roman"/>
          <w:sz w:val="24"/>
          <w:szCs w:val="24"/>
          <w:lang w:val="hy-AM"/>
        </w:rPr>
        <w:t>.</w:t>
      </w:r>
      <w:r w:rsidR="005844D2" w:rsidRPr="00D712D0">
        <w:rPr>
          <w:rFonts w:ascii="Times New Roman" w:hAnsi="Times New Roman" w:cs="Times New Roman"/>
          <w:sz w:val="24"/>
          <w:szCs w:val="24"/>
          <w:lang w:val="hy-AM"/>
        </w:rPr>
        <w:t xml:space="preserve"> Any restriction on buying shares imposed on participants is prohibited, meaning that pension funds will h</w:t>
      </w:r>
      <w:r w:rsidR="00A90465" w:rsidRPr="00D712D0">
        <w:rPr>
          <w:rFonts w:ascii="Times New Roman" w:hAnsi="Times New Roman" w:cs="Times New Roman"/>
          <w:sz w:val="24"/>
          <w:szCs w:val="24"/>
          <w:lang w:val="hy-AM"/>
        </w:rPr>
        <w:t xml:space="preserve">ave to sell shares upon request. </w:t>
      </w:r>
    </w:p>
    <w:p w:rsidR="00BC321A" w:rsidRPr="00D712D0" w:rsidRDefault="00A90465" w:rsidP="00A90465">
      <w:pPr>
        <w:spacing w:after="0" w:line="240" w:lineRule="auto"/>
        <w:jc w:val="both"/>
        <w:rPr>
          <w:rFonts w:ascii="Times New Roman" w:hAnsi="Times New Roman" w:cs="Times New Roman"/>
          <w:sz w:val="24"/>
          <w:szCs w:val="24"/>
          <w:lang w:val="hy-AM"/>
        </w:rPr>
      </w:pPr>
      <w:r w:rsidRPr="00D712D0">
        <w:rPr>
          <w:rFonts w:ascii="Times New Roman" w:hAnsi="Times New Roman" w:cs="Times New Roman"/>
          <w:sz w:val="24"/>
          <w:szCs w:val="24"/>
          <w:lang w:val="hy-AM"/>
        </w:rPr>
        <w:tab/>
        <w:t>Pension funds are reuired to invest into</w:t>
      </w:r>
      <w:r w:rsidR="005E1C4B" w:rsidRPr="00D712D0">
        <w:rPr>
          <w:rFonts w:ascii="Times New Roman" w:hAnsi="Times New Roman" w:cs="Times New Roman"/>
          <w:sz w:val="24"/>
          <w:szCs w:val="24"/>
          <w:lang w:val="hy-AM"/>
        </w:rPr>
        <w:t xml:space="preserve"> either</w:t>
      </w:r>
      <w:r w:rsidRPr="00D712D0">
        <w:rPr>
          <w:rFonts w:ascii="Times New Roman" w:hAnsi="Times New Roman" w:cs="Times New Roman"/>
          <w:sz w:val="24"/>
          <w:szCs w:val="24"/>
          <w:lang w:val="hy-AM"/>
        </w:rPr>
        <w:t xml:space="preserve"> highly liquid</w:t>
      </w:r>
      <w:r w:rsidR="005E1C4B" w:rsidRPr="00D712D0">
        <w:rPr>
          <w:rFonts w:ascii="Times New Roman" w:hAnsi="Times New Roman" w:cs="Times New Roman"/>
          <w:sz w:val="24"/>
          <w:szCs w:val="24"/>
          <w:lang w:val="hy-AM"/>
        </w:rPr>
        <w:t xml:space="preserve"> or highly </w:t>
      </w:r>
      <w:r w:rsidR="00866A65" w:rsidRPr="00D712D0">
        <w:rPr>
          <w:rFonts w:ascii="Times New Roman" w:hAnsi="Times New Roman" w:cs="Times New Roman"/>
          <w:sz w:val="24"/>
          <w:szCs w:val="24"/>
          <w:lang w:val="hy-AM"/>
        </w:rPr>
        <w:t xml:space="preserve">safe </w:t>
      </w:r>
      <w:r w:rsidR="005E1C4B" w:rsidRPr="00D712D0">
        <w:rPr>
          <w:rFonts w:ascii="Times New Roman" w:hAnsi="Times New Roman" w:cs="Times New Roman"/>
          <w:sz w:val="24"/>
          <w:szCs w:val="24"/>
          <w:lang w:val="hy-AM"/>
        </w:rPr>
        <w:t>(BB+ to AAA+ rating, Mundis)</w:t>
      </w:r>
      <w:r w:rsidRPr="00D712D0">
        <w:rPr>
          <w:rFonts w:ascii="Times New Roman" w:hAnsi="Times New Roman" w:cs="Times New Roman"/>
          <w:sz w:val="24"/>
          <w:szCs w:val="24"/>
          <w:lang w:val="hy-AM"/>
        </w:rPr>
        <w:t xml:space="preserve"> </w:t>
      </w:r>
      <w:r w:rsidR="005E1C4B" w:rsidRPr="00D712D0">
        <w:rPr>
          <w:rFonts w:ascii="Times New Roman" w:hAnsi="Times New Roman" w:cs="Times New Roman"/>
          <w:sz w:val="24"/>
          <w:szCs w:val="24"/>
          <w:lang w:val="hy-AM"/>
        </w:rPr>
        <w:t>sequrities</w:t>
      </w:r>
      <w:r w:rsidR="00866A65" w:rsidRPr="00D712D0">
        <w:rPr>
          <w:rFonts w:ascii="Times New Roman" w:hAnsi="Times New Roman" w:cs="Times New Roman"/>
          <w:sz w:val="24"/>
          <w:szCs w:val="24"/>
          <w:lang w:val="hy-AM"/>
        </w:rPr>
        <w:t xml:space="preserve">. Although there are close to no doubts on safety of such investments, there is always a risk </w:t>
      </w:r>
      <w:r w:rsidR="00230335" w:rsidRPr="00D712D0">
        <w:rPr>
          <w:rFonts w:ascii="Times New Roman" w:hAnsi="Times New Roman" w:cs="Times New Roman"/>
          <w:sz w:val="24"/>
          <w:szCs w:val="24"/>
          <w:lang w:val="hy-AM"/>
        </w:rPr>
        <w:t xml:space="preserve">that those sequrities are at risk of not covering national inflation level. </w:t>
      </w:r>
      <w:r w:rsidR="004B1570" w:rsidRPr="00D712D0">
        <w:rPr>
          <w:rFonts w:ascii="Times New Roman" w:hAnsi="Times New Roman" w:cs="Times New Roman"/>
          <w:sz w:val="24"/>
          <w:szCs w:val="24"/>
          <w:lang w:val="hy-AM"/>
        </w:rPr>
        <w:t>Another</w:t>
      </w:r>
      <w:r w:rsidR="00FA3A6E" w:rsidRPr="00D712D0">
        <w:rPr>
          <w:rFonts w:ascii="Times New Roman" w:hAnsi="Times New Roman" w:cs="Times New Roman"/>
          <w:sz w:val="24"/>
          <w:szCs w:val="24"/>
          <w:lang w:val="hy-AM"/>
        </w:rPr>
        <w:t xml:space="preserve"> poblem with high safety requirments </w:t>
      </w:r>
      <w:r w:rsidR="004B1570" w:rsidRPr="00D712D0">
        <w:rPr>
          <w:rFonts w:ascii="Times New Roman" w:hAnsi="Times New Roman" w:cs="Times New Roman"/>
          <w:sz w:val="24"/>
          <w:szCs w:val="24"/>
          <w:lang w:val="hy-AM"/>
        </w:rPr>
        <w:t xml:space="preserve">is </w:t>
      </w:r>
      <w:r w:rsidR="00783C15" w:rsidRPr="00D712D0">
        <w:rPr>
          <w:rFonts w:ascii="Times New Roman" w:hAnsi="Times New Roman" w:cs="Times New Roman"/>
          <w:sz w:val="24"/>
          <w:szCs w:val="24"/>
          <w:lang w:val="hy-AM"/>
        </w:rPr>
        <w:t>Armenias own safety rating, and low level of financial market operations as well as low level of trust in the society.</w:t>
      </w:r>
    </w:p>
    <w:p w:rsidR="00030BC3" w:rsidRPr="00D712D0" w:rsidRDefault="00BC321A" w:rsidP="00A90465">
      <w:pPr>
        <w:spacing w:after="0" w:line="240" w:lineRule="auto"/>
        <w:jc w:val="both"/>
        <w:rPr>
          <w:rFonts w:ascii="Times New Roman" w:hAnsi="Times New Roman" w:cs="Times New Roman"/>
          <w:sz w:val="24"/>
          <w:szCs w:val="24"/>
          <w:lang w:val="hy-AM"/>
        </w:rPr>
      </w:pPr>
      <w:r w:rsidRPr="00D712D0">
        <w:rPr>
          <w:rFonts w:ascii="Times New Roman" w:hAnsi="Times New Roman" w:cs="Times New Roman"/>
          <w:sz w:val="24"/>
          <w:szCs w:val="24"/>
          <w:lang w:val="hy-AM"/>
        </w:rPr>
        <w:tab/>
        <w:t xml:space="preserve">Considering the statements mentioned above, </w:t>
      </w:r>
      <w:r w:rsidR="003A191E" w:rsidRPr="00D712D0">
        <w:rPr>
          <w:rFonts w:ascii="Times New Roman" w:hAnsi="Times New Roman" w:cs="Times New Roman"/>
          <w:sz w:val="24"/>
          <w:szCs w:val="24"/>
          <w:lang w:val="hy-AM"/>
        </w:rPr>
        <w:t>the «new» system has own risks and possible efficiency issues, which makes it wothwhile to consider alternative reform possibilities.</w:t>
      </w:r>
    </w:p>
    <w:p w:rsidR="00843CFC" w:rsidRPr="00D712D0" w:rsidRDefault="00030BC3" w:rsidP="00CA034B">
      <w:pPr>
        <w:spacing w:after="0" w:line="240" w:lineRule="auto"/>
        <w:ind w:firstLine="708"/>
        <w:jc w:val="both"/>
        <w:rPr>
          <w:rFonts w:ascii="Times New Roman" w:hAnsi="Times New Roman" w:cs="Times New Roman"/>
          <w:sz w:val="24"/>
          <w:szCs w:val="24"/>
          <w:lang w:val="hy-AM"/>
        </w:rPr>
      </w:pPr>
      <w:r w:rsidRPr="00D712D0">
        <w:rPr>
          <w:rFonts w:ascii="Times New Roman" w:hAnsi="Times New Roman" w:cs="Times New Roman"/>
          <w:sz w:val="24"/>
          <w:szCs w:val="24"/>
          <w:lang w:val="hy-AM"/>
        </w:rPr>
        <w:t>We have already mentioned that the «new» system is supposed to make up for the mistakes of the «old» system. One of such mistakes can be considered the exclusion of vulnerable rural population from the social pension system. Such exclusion is explained by the governments inability to collect taxes from rural areas, where most of the population is self employed in agriculture, thus making it close to impossible to collect social pensions.</w:t>
      </w:r>
      <w:r w:rsidR="000868DF" w:rsidRPr="00D712D0">
        <w:rPr>
          <w:rFonts w:ascii="Times New Roman" w:hAnsi="Times New Roman" w:cs="Times New Roman"/>
          <w:sz w:val="24"/>
          <w:szCs w:val="24"/>
          <w:lang w:val="hy-AM"/>
        </w:rPr>
        <w:t xml:space="preserve"> </w:t>
      </w:r>
      <w:r w:rsidR="00843CFC" w:rsidRPr="00D712D0">
        <w:rPr>
          <w:rFonts w:ascii="Times New Roman" w:hAnsi="Times New Roman" w:cs="Times New Roman"/>
          <w:sz w:val="24"/>
          <w:szCs w:val="24"/>
          <w:lang w:val="hy-AM"/>
        </w:rPr>
        <w:t xml:space="preserve">Thus the «old» system was discriminating people by economic activity and living area. </w:t>
      </w:r>
    </w:p>
    <w:p w:rsidR="004F5516" w:rsidRPr="00D712D0" w:rsidRDefault="00843CFC" w:rsidP="000868DF">
      <w:pPr>
        <w:spacing w:after="0" w:line="240" w:lineRule="auto"/>
        <w:jc w:val="both"/>
        <w:rPr>
          <w:rFonts w:ascii="Times New Roman" w:hAnsi="Times New Roman" w:cs="Times New Roman"/>
          <w:sz w:val="24"/>
          <w:szCs w:val="24"/>
          <w:lang w:val="hy-AM"/>
        </w:rPr>
      </w:pPr>
      <w:r w:rsidRPr="00D712D0">
        <w:rPr>
          <w:rFonts w:ascii="Times New Roman" w:hAnsi="Times New Roman" w:cs="Times New Roman"/>
          <w:sz w:val="24"/>
          <w:szCs w:val="24"/>
          <w:lang w:val="hy-AM"/>
        </w:rPr>
        <w:t xml:space="preserve">The «new» system is based on mandatory savings, which can be considered a form of income tax, as the collection technique is essentially the same. </w:t>
      </w:r>
      <w:r w:rsidR="0000430A" w:rsidRPr="00D712D0">
        <w:rPr>
          <w:rFonts w:ascii="Times New Roman" w:hAnsi="Times New Roman" w:cs="Times New Roman"/>
          <w:sz w:val="24"/>
          <w:szCs w:val="24"/>
          <w:lang w:val="hy-AM"/>
        </w:rPr>
        <w:t>This is the reason why the rural population will once again be deliberately excluded from pension system itself. Thus the issue of rural population will remain unsolved. Moreover the «new» system is providing goverment support according to mandatory inputs into system</w:t>
      </w:r>
      <w:r w:rsidR="0000430A" w:rsidRPr="00D712D0">
        <w:rPr>
          <w:rStyle w:val="a5"/>
          <w:rFonts w:ascii="Times New Roman" w:hAnsi="Times New Roman" w:cs="Times New Roman"/>
          <w:sz w:val="24"/>
          <w:szCs w:val="24"/>
          <w:lang w:val="hy-AM"/>
        </w:rPr>
        <w:footnoteReference w:id="3"/>
      </w:r>
      <w:r w:rsidR="0000430A" w:rsidRPr="00D712D0">
        <w:rPr>
          <w:rFonts w:ascii="Times New Roman" w:hAnsi="Times New Roman" w:cs="Times New Roman"/>
          <w:sz w:val="24"/>
          <w:szCs w:val="24"/>
          <w:lang w:val="hy-AM"/>
        </w:rPr>
        <w:t>, by doing so the pension system is loosing its role as a tool of income distribution from wealthy to relatively poor.</w:t>
      </w:r>
    </w:p>
    <w:p w:rsidR="004B2674" w:rsidRPr="00D712D0" w:rsidRDefault="004B2674" w:rsidP="000868DF">
      <w:pPr>
        <w:spacing w:after="0" w:line="240" w:lineRule="auto"/>
        <w:jc w:val="both"/>
        <w:rPr>
          <w:rFonts w:ascii="Times New Roman" w:hAnsi="Times New Roman" w:cs="Times New Roman"/>
          <w:sz w:val="24"/>
          <w:szCs w:val="24"/>
          <w:lang w:val="hy-AM"/>
        </w:rPr>
      </w:pPr>
    </w:p>
    <w:p w:rsidR="00617620" w:rsidRPr="00D712D0" w:rsidRDefault="00617620" w:rsidP="004B2674">
      <w:pPr>
        <w:spacing w:after="0" w:line="240" w:lineRule="auto"/>
        <w:jc w:val="both"/>
        <w:rPr>
          <w:rFonts w:ascii="Times New Roman" w:hAnsi="Times New Roman" w:cs="Times New Roman"/>
          <w:sz w:val="24"/>
          <w:szCs w:val="24"/>
          <w:lang w:val="hy-AM"/>
        </w:rPr>
      </w:pPr>
    </w:p>
    <w:p w:rsidR="00617620" w:rsidRPr="00D712D0" w:rsidRDefault="00617620" w:rsidP="004B2674">
      <w:pPr>
        <w:spacing w:after="0" w:line="240" w:lineRule="auto"/>
        <w:jc w:val="both"/>
        <w:rPr>
          <w:rFonts w:ascii="Times New Roman" w:hAnsi="Times New Roman" w:cs="Times New Roman"/>
          <w:b/>
          <w:sz w:val="24"/>
          <w:szCs w:val="24"/>
          <w:lang w:val="hy-AM"/>
        </w:rPr>
      </w:pPr>
      <w:r w:rsidRPr="00D712D0">
        <w:rPr>
          <w:rFonts w:ascii="Times New Roman" w:hAnsi="Times New Roman" w:cs="Times New Roman"/>
          <w:b/>
          <w:sz w:val="24"/>
          <w:szCs w:val="24"/>
          <w:lang w:val="hy-AM"/>
        </w:rPr>
        <w:t>The old system</w:t>
      </w:r>
    </w:p>
    <w:p w:rsidR="00092E67" w:rsidRPr="00D712D0" w:rsidRDefault="00092E67" w:rsidP="004B2674">
      <w:pPr>
        <w:spacing w:after="0" w:line="240" w:lineRule="auto"/>
        <w:jc w:val="both"/>
        <w:rPr>
          <w:rFonts w:ascii="Times New Roman" w:hAnsi="Times New Roman" w:cs="Times New Roman"/>
          <w:sz w:val="24"/>
          <w:szCs w:val="24"/>
          <w:lang w:val="hy-AM"/>
        </w:rPr>
      </w:pPr>
      <w:r w:rsidRPr="00D712D0">
        <w:rPr>
          <w:rFonts w:ascii="Times New Roman" w:hAnsi="Times New Roman" w:cs="Times New Roman"/>
          <w:sz w:val="24"/>
          <w:szCs w:val="24"/>
          <w:lang w:val="hy-AM"/>
        </w:rPr>
        <w:t>First let us state that it is close to impossible to say for sure if the RA pension reform will succeed or fail. Even though, we should give it a try. In this regard, we will start our analyses with the PAYG system, that is currently in operation.</w:t>
      </w:r>
    </w:p>
    <w:p w:rsidR="00092E67" w:rsidRPr="00D712D0" w:rsidRDefault="00D04736" w:rsidP="004B2674">
      <w:pPr>
        <w:spacing w:after="0" w:line="240" w:lineRule="auto"/>
        <w:jc w:val="both"/>
        <w:rPr>
          <w:rFonts w:ascii="Times New Roman" w:hAnsi="Times New Roman" w:cs="Times New Roman"/>
          <w:sz w:val="24"/>
          <w:szCs w:val="24"/>
          <w:lang w:val="en-US"/>
        </w:rPr>
      </w:pPr>
      <w:r w:rsidRPr="00D712D0">
        <w:rPr>
          <w:rFonts w:ascii="Times New Roman" w:hAnsi="Times New Roman" w:cs="Times New Roman"/>
          <w:sz w:val="24"/>
          <w:szCs w:val="24"/>
          <w:lang w:val="hy-AM"/>
        </w:rPr>
        <w:t>The first thing that catches an eye in the PAYG system is</w:t>
      </w:r>
      <w:r w:rsidR="008C6026" w:rsidRPr="00D712D0">
        <w:rPr>
          <w:rFonts w:ascii="Times New Roman" w:hAnsi="Times New Roman" w:cs="Times New Roman"/>
          <w:sz w:val="24"/>
          <w:szCs w:val="24"/>
          <w:lang w:val="en-US"/>
        </w:rPr>
        <w:t xml:space="preserve"> </w:t>
      </w:r>
      <w:r w:rsidR="000866AF" w:rsidRPr="00D712D0">
        <w:rPr>
          <w:rFonts w:ascii="Times New Roman" w:hAnsi="Times New Roman" w:cs="Times New Roman"/>
          <w:sz w:val="24"/>
          <w:szCs w:val="24"/>
          <w:lang w:val="en-US"/>
        </w:rPr>
        <w:t xml:space="preserve">its vulnerability </w:t>
      </w:r>
      <w:r w:rsidR="008C43D6" w:rsidRPr="00D712D0">
        <w:rPr>
          <w:rFonts w:ascii="Times New Roman" w:hAnsi="Times New Roman" w:cs="Times New Roman"/>
          <w:sz w:val="24"/>
          <w:szCs w:val="24"/>
          <w:lang w:val="en-US"/>
        </w:rPr>
        <w:t>to the risks created by ageing of population.</w:t>
      </w:r>
      <w:r w:rsidR="00546A60" w:rsidRPr="00D712D0">
        <w:rPr>
          <w:rFonts w:ascii="Times New Roman" w:hAnsi="Times New Roman" w:cs="Times New Roman"/>
          <w:sz w:val="24"/>
          <w:szCs w:val="24"/>
          <w:lang w:val="en-US"/>
        </w:rPr>
        <w:t xml:space="preserve"> In Armenia this issue is especially sharp; the number of elderly people, eligible for full defined social pension support by year 2025 will amount </w:t>
      </w:r>
      <w:r w:rsidR="00AC78D1" w:rsidRPr="00D712D0">
        <w:rPr>
          <w:rFonts w:ascii="Times New Roman" w:hAnsi="Times New Roman" w:cs="Times New Roman"/>
          <w:sz w:val="24"/>
          <w:szCs w:val="24"/>
          <w:lang w:val="en-US"/>
        </w:rPr>
        <w:t>to 600 thousand(Graph 1).</w:t>
      </w:r>
      <w:r w:rsidR="00F209F9" w:rsidRPr="00D712D0">
        <w:rPr>
          <w:rFonts w:ascii="Times New Roman" w:hAnsi="Times New Roman" w:cs="Times New Roman"/>
          <w:sz w:val="24"/>
          <w:szCs w:val="24"/>
          <w:lang w:val="en-US"/>
        </w:rPr>
        <w:t xml:space="preserve"> Here the main issue is not the quantity of “pensioners”, but the ratio of elderly people to the working age population</w:t>
      </w:r>
      <w:r w:rsidR="00B95FF7" w:rsidRPr="00D712D0">
        <w:rPr>
          <w:rFonts w:ascii="Times New Roman" w:hAnsi="Times New Roman" w:cs="Times New Roman"/>
          <w:sz w:val="24"/>
          <w:szCs w:val="24"/>
          <w:lang w:val="en-US"/>
        </w:rPr>
        <w:t>. According to ARMADS</w:t>
      </w:r>
      <w:r w:rsidR="009E6FE6" w:rsidRPr="00D712D0">
        <w:rPr>
          <w:rFonts w:ascii="Times New Roman" w:hAnsi="Times New Roman" w:cs="Times New Roman"/>
          <w:sz w:val="24"/>
          <w:szCs w:val="24"/>
          <w:lang w:val="en-US"/>
        </w:rPr>
        <w:t>,</w:t>
      </w:r>
      <w:r w:rsidR="00B95FF7" w:rsidRPr="00D712D0">
        <w:rPr>
          <w:rFonts w:ascii="Times New Roman" w:hAnsi="Times New Roman" w:cs="Times New Roman"/>
          <w:sz w:val="24"/>
          <w:szCs w:val="24"/>
          <w:lang w:val="en-US"/>
        </w:rPr>
        <w:t xml:space="preserve"> published by the ministry of finance of Republic of Armenia,</w:t>
      </w:r>
      <w:r w:rsidR="009E6FE6" w:rsidRPr="00D712D0">
        <w:rPr>
          <w:rFonts w:ascii="Times New Roman" w:hAnsi="Times New Roman" w:cs="Times New Roman"/>
          <w:sz w:val="24"/>
          <w:szCs w:val="24"/>
          <w:lang w:val="en-US"/>
        </w:rPr>
        <w:t xml:space="preserve"> this ratio will hit a record low of</w:t>
      </w:r>
      <w:r w:rsidR="0051033C" w:rsidRPr="00D712D0">
        <w:rPr>
          <w:rFonts w:ascii="Times New Roman" w:hAnsi="Times New Roman" w:cs="Times New Roman"/>
          <w:sz w:val="24"/>
          <w:szCs w:val="24"/>
          <w:lang w:val="en-US"/>
        </w:rPr>
        <w:t xml:space="preserve"> 1.04</w:t>
      </w:r>
      <w:r w:rsidR="00544820" w:rsidRPr="00D712D0">
        <w:rPr>
          <w:rFonts w:ascii="Times New Roman" w:hAnsi="Times New Roman" w:cs="Times New Roman"/>
          <w:sz w:val="24"/>
          <w:szCs w:val="24"/>
          <w:lang w:val="en-US"/>
        </w:rPr>
        <w:t xml:space="preserve"> by 202</w:t>
      </w:r>
      <w:r w:rsidR="0051033C" w:rsidRPr="00D712D0">
        <w:rPr>
          <w:rFonts w:ascii="Times New Roman" w:hAnsi="Times New Roman" w:cs="Times New Roman"/>
          <w:sz w:val="24"/>
          <w:szCs w:val="24"/>
          <w:lang w:val="en-US"/>
        </w:rPr>
        <w:t>4 with a following decrease to the point of 1.03 by 2025</w:t>
      </w:r>
      <w:r w:rsidR="00544820" w:rsidRPr="00D712D0">
        <w:rPr>
          <w:rFonts w:ascii="Times New Roman" w:hAnsi="Times New Roman" w:cs="Times New Roman"/>
          <w:sz w:val="24"/>
          <w:szCs w:val="24"/>
          <w:lang w:val="en-US"/>
        </w:rPr>
        <w:t xml:space="preserve">, meaning that </w:t>
      </w:r>
      <w:r w:rsidR="005D2DF4" w:rsidRPr="00D712D0">
        <w:rPr>
          <w:rFonts w:ascii="Times New Roman" w:hAnsi="Times New Roman" w:cs="Times New Roman"/>
          <w:sz w:val="24"/>
          <w:szCs w:val="24"/>
          <w:lang w:val="en-US"/>
        </w:rPr>
        <w:t>there will be more elderly people than working age population, this is certainly bad news for PAYG system.</w:t>
      </w:r>
    </w:p>
    <w:p w:rsidR="008C6026" w:rsidRPr="00D712D0" w:rsidRDefault="008C6026" w:rsidP="004B2674">
      <w:pPr>
        <w:spacing w:after="0" w:line="240" w:lineRule="auto"/>
        <w:jc w:val="both"/>
        <w:rPr>
          <w:rFonts w:ascii="Times New Roman" w:hAnsi="Times New Roman" w:cs="Times New Roman"/>
          <w:sz w:val="24"/>
          <w:szCs w:val="24"/>
          <w:lang w:val="en-US"/>
        </w:rPr>
      </w:pPr>
    </w:p>
    <w:tbl>
      <w:tblPr>
        <w:tblStyle w:val="a8"/>
        <w:tblW w:w="9612" w:type="dxa"/>
        <w:tblLook w:val="04A0" w:firstRow="1" w:lastRow="0" w:firstColumn="1" w:lastColumn="0" w:noHBand="0" w:noVBand="1"/>
      </w:tblPr>
      <w:tblGrid>
        <w:gridCol w:w="4776"/>
        <w:gridCol w:w="4836"/>
      </w:tblGrid>
      <w:tr w:rsidR="00030813" w:rsidRPr="00D712D0" w:rsidTr="00F6240A">
        <w:tc>
          <w:tcPr>
            <w:tcW w:w="4776" w:type="dxa"/>
          </w:tcPr>
          <w:p w:rsidR="00030813" w:rsidRPr="000D6C1C" w:rsidRDefault="008E17EA" w:rsidP="008E17EA">
            <w:pPr>
              <w:jc w:val="both"/>
              <w:rPr>
                <w:rFonts w:ascii="Times New Roman" w:eastAsia="Calibri" w:hAnsi="Times New Roman" w:cs="Times New Roman"/>
                <w:sz w:val="24"/>
                <w:szCs w:val="24"/>
                <w:lang w:val="en-US"/>
              </w:rPr>
            </w:pPr>
            <w:r w:rsidRPr="000D6C1C">
              <w:rPr>
                <w:rFonts w:ascii="Times New Roman" w:eastAsia="Calibri" w:hAnsi="Times New Roman" w:cs="Times New Roman"/>
                <w:b/>
                <w:sz w:val="24"/>
                <w:szCs w:val="24"/>
                <w:lang w:val="en-US"/>
              </w:rPr>
              <w:t>Graph</w:t>
            </w:r>
            <w:r w:rsidR="00030813" w:rsidRPr="000D6C1C">
              <w:rPr>
                <w:rFonts w:ascii="Times New Roman" w:eastAsia="Calibri" w:hAnsi="Times New Roman" w:cs="Times New Roman"/>
                <w:b/>
                <w:sz w:val="24"/>
                <w:szCs w:val="24"/>
                <w:lang w:val="en-US"/>
              </w:rPr>
              <w:t>.</w:t>
            </w:r>
            <w:r w:rsidR="00030813" w:rsidRPr="000D6C1C">
              <w:rPr>
                <w:rFonts w:ascii="Times New Roman" w:eastAsia="Calibri" w:hAnsi="Times New Roman" w:cs="Times New Roman"/>
                <w:sz w:val="24"/>
                <w:szCs w:val="24"/>
                <w:lang w:val="en-US"/>
              </w:rPr>
              <w:t xml:space="preserve"> </w:t>
            </w:r>
            <w:r w:rsidR="00030813" w:rsidRPr="000D6C1C">
              <w:rPr>
                <w:rFonts w:ascii="Times New Roman" w:eastAsia="Calibri" w:hAnsi="Times New Roman" w:cs="Times New Roman"/>
                <w:b/>
                <w:sz w:val="24"/>
                <w:szCs w:val="24"/>
                <w:lang w:val="en-US"/>
              </w:rPr>
              <w:t xml:space="preserve">1. </w:t>
            </w:r>
            <w:r>
              <w:rPr>
                <w:rFonts w:ascii="Times New Roman" w:eastAsia="Calibri" w:hAnsi="Times New Roman" w:cs="Times New Roman"/>
                <w:b/>
                <w:sz w:val="24"/>
                <w:szCs w:val="24"/>
                <w:lang w:val="en-US"/>
              </w:rPr>
              <w:t>Pensioners in RA</w:t>
            </w:r>
            <w:r w:rsidR="00030813" w:rsidRPr="000D6C1C">
              <w:rPr>
                <w:rFonts w:ascii="Times New Roman" w:eastAsia="Calibri" w:hAnsi="Times New Roman" w:cs="Times New Roman"/>
                <w:b/>
                <w:sz w:val="24"/>
                <w:szCs w:val="24"/>
                <w:lang w:val="en-US"/>
              </w:rPr>
              <w:t xml:space="preserve"> (</w:t>
            </w:r>
            <w:r>
              <w:rPr>
                <w:rFonts w:ascii="Times New Roman" w:eastAsia="Calibri" w:hAnsi="Times New Roman" w:cs="Times New Roman"/>
                <w:b/>
                <w:sz w:val="24"/>
                <w:szCs w:val="24"/>
                <w:lang w:val="en-US"/>
              </w:rPr>
              <w:t>thsd.</w:t>
            </w:r>
            <w:r w:rsidR="00030813" w:rsidRPr="000D6C1C">
              <w:rPr>
                <w:rFonts w:ascii="Times New Roman" w:eastAsia="Calibri" w:hAnsi="Times New Roman" w:cs="Times New Roman"/>
                <w:b/>
                <w:sz w:val="24"/>
                <w:szCs w:val="24"/>
                <w:lang w:val="en-US"/>
              </w:rPr>
              <w:t>).</w:t>
            </w:r>
          </w:p>
        </w:tc>
        <w:tc>
          <w:tcPr>
            <w:tcW w:w="4836" w:type="dxa"/>
          </w:tcPr>
          <w:p w:rsidR="00030813" w:rsidRPr="000D6C1C" w:rsidRDefault="00030813" w:rsidP="008E17EA">
            <w:pPr>
              <w:jc w:val="both"/>
              <w:rPr>
                <w:rFonts w:ascii="Times New Roman" w:eastAsia="Calibri" w:hAnsi="Times New Roman" w:cs="Times New Roman"/>
                <w:sz w:val="24"/>
                <w:szCs w:val="24"/>
                <w:lang w:val="en-US"/>
              </w:rPr>
            </w:pPr>
            <w:r w:rsidRPr="00D712D0">
              <w:rPr>
                <w:rFonts w:ascii="Times New Roman" w:eastAsia="Calibri" w:hAnsi="Times New Roman" w:cs="Times New Roman"/>
                <w:sz w:val="24"/>
                <w:szCs w:val="24"/>
                <w:lang w:val="ru-RU"/>
              </w:rPr>
              <w:t>Рис</w:t>
            </w:r>
            <w:r w:rsidRPr="000D6C1C">
              <w:rPr>
                <w:rFonts w:ascii="Times New Roman" w:eastAsia="Calibri" w:hAnsi="Times New Roman" w:cs="Times New Roman"/>
                <w:sz w:val="24"/>
                <w:szCs w:val="24"/>
                <w:lang w:val="en-US"/>
              </w:rPr>
              <w:t xml:space="preserve">. 2. </w:t>
            </w:r>
            <w:r w:rsidR="008E17EA">
              <w:rPr>
                <w:rFonts w:ascii="Times New Roman" w:eastAsia="Calibri" w:hAnsi="Times New Roman" w:cs="Times New Roman"/>
                <w:b/>
                <w:sz w:val="24"/>
                <w:szCs w:val="24"/>
                <w:lang w:val="en-US"/>
              </w:rPr>
              <w:t>Ratio of elderly to working age population</w:t>
            </w:r>
            <w:r w:rsidR="008E17EA">
              <w:rPr>
                <w:rStyle w:val="a5"/>
                <w:rFonts w:ascii="Times New Roman" w:eastAsia="Calibri" w:hAnsi="Times New Roman" w:cs="Times New Roman"/>
                <w:b/>
                <w:sz w:val="24"/>
                <w:szCs w:val="24"/>
                <w:lang w:val="en-US"/>
              </w:rPr>
              <w:footnoteReference w:id="4"/>
            </w:r>
            <w:r w:rsidRPr="000D6C1C">
              <w:rPr>
                <w:rFonts w:ascii="Times New Roman" w:eastAsia="Calibri" w:hAnsi="Times New Roman" w:cs="Times New Roman"/>
                <w:sz w:val="24"/>
                <w:szCs w:val="24"/>
                <w:lang w:val="en-US"/>
              </w:rPr>
              <w:t xml:space="preserve"> </w:t>
            </w:r>
          </w:p>
        </w:tc>
      </w:tr>
      <w:tr w:rsidR="00030813" w:rsidRPr="00D712D0" w:rsidTr="00F6240A">
        <w:tc>
          <w:tcPr>
            <w:tcW w:w="4776" w:type="dxa"/>
          </w:tcPr>
          <w:p w:rsidR="00030813" w:rsidRPr="00D712D0" w:rsidRDefault="00030813" w:rsidP="00F6240A">
            <w:pPr>
              <w:jc w:val="both"/>
              <w:rPr>
                <w:rFonts w:ascii="Times New Roman" w:eastAsia="Calibri" w:hAnsi="Times New Roman" w:cs="Times New Roman"/>
                <w:sz w:val="24"/>
                <w:szCs w:val="24"/>
              </w:rPr>
            </w:pPr>
            <w:r w:rsidRPr="00D712D0">
              <w:rPr>
                <w:rFonts w:ascii="Times New Roman" w:eastAsia="Calibri" w:hAnsi="Times New Roman" w:cs="Times New Roman"/>
                <w:noProof/>
                <w:sz w:val="24"/>
                <w:szCs w:val="24"/>
                <w:lang w:val="ru-RU" w:eastAsia="ru-RU"/>
              </w:rPr>
              <w:drawing>
                <wp:inline distT="0" distB="0" distL="0" distR="0">
                  <wp:extent cx="2855823" cy="2243861"/>
                  <wp:effectExtent l="19050" t="0" r="20727" b="4039"/>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836" w:type="dxa"/>
          </w:tcPr>
          <w:p w:rsidR="00030813" w:rsidRPr="00D712D0" w:rsidRDefault="00030813" w:rsidP="00F6240A">
            <w:pPr>
              <w:jc w:val="both"/>
              <w:rPr>
                <w:rFonts w:ascii="Times New Roman" w:eastAsia="Calibri" w:hAnsi="Times New Roman" w:cs="Times New Roman"/>
                <w:sz w:val="24"/>
                <w:szCs w:val="24"/>
              </w:rPr>
            </w:pPr>
            <w:r w:rsidRPr="00D712D0">
              <w:rPr>
                <w:rFonts w:ascii="Times New Roman" w:eastAsia="Calibri" w:hAnsi="Times New Roman" w:cs="Times New Roman"/>
                <w:noProof/>
                <w:sz w:val="24"/>
                <w:szCs w:val="24"/>
                <w:lang w:val="ru-RU" w:eastAsia="ru-RU"/>
              </w:rPr>
              <w:drawing>
                <wp:inline distT="0" distB="0" distL="0" distR="0">
                  <wp:extent cx="2892399" cy="2241957"/>
                  <wp:effectExtent l="19050" t="0" r="22251" b="5943"/>
                  <wp:docPr id="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030813" w:rsidRPr="00D712D0" w:rsidTr="00F6240A">
        <w:tc>
          <w:tcPr>
            <w:tcW w:w="4776" w:type="dxa"/>
          </w:tcPr>
          <w:p w:rsidR="00030813" w:rsidRPr="00D712D0" w:rsidRDefault="00100662" w:rsidP="00F6240A">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Source</w:t>
            </w:r>
            <w:r w:rsidR="00030813" w:rsidRPr="00D712D0">
              <w:rPr>
                <w:rFonts w:ascii="Times New Roman" w:eastAsia="Calibri" w:hAnsi="Times New Roman" w:cs="Times New Roman"/>
                <w:sz w:val="24"/>
                <w:szCs w:val="24"/>
              </w:rPr>
              <w:t>: ADS Draft Ministry of Finance of RA</w:t>
            </w:r>
          </w:p>
        </w:tc>
        <w:tc>
          <w:tcPr>
            <w:tcW w:w="4836" w:type="dxa"/>
          </w:tcPr>
          <w:p w:rsidR="00030813" w:rsidRPr="00D712D0" w:rsidRDefault="00100662" w:rsidP="00F6240A">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Source</w:t>
            </w:r>
            <w:r w:rsidR="00030813" w:rsidRPr="00D712D0">
              <w:rPr>
                <w:rFonts w:ascii="Times New Roman" w:eastAsia="Calibri" w:hAnsi="Times New Roman" w:cs="Times New Roman"/>
                <w:sz w:val="24"/>
                <w:szCs w:val="24"/>
              </w:rPr>
              <w:t>: ADS Draft Ministry of Finance of RA</w:t>
            </w:r>
          </w:p>
        </w:tc>
      </w:tr>
    </w:tbl>
    <w:p w:rsidR="00030813" w:rsidRPr="00D712D0" w:rsidRDefault="00030813" w:rsidP="004B2674">
      <w:pPr>
        <w:spacing w:after="0" w:line="240" w:lineRule="auto"/>
        <w:jc w:val="both"/>
        <w:rPr>
          <w:rFonts w:ascii="Times New Roman" w:hAnsi="Times New Roman" w:cs="Times New Roman"/>
          <w:sz w:val="24"/>
          <w:szCs w:val="24"/>
        </w:rPr>
      </w:pPr>
    </w:p>
    <w:p w:rsidR="00030813" w:rsidRPr="00D712D0" w:rsidRDefault="003D5971" w:rsidP="00966870">
      <w:pPr>
        <w:spacing w:after="0" w:line="240" w:lineRule="auto"/>
        <w:ind w:firstLine="708"/>
        <w:jc w:val="both"/>
        <w:rPr>
          <w:rFonts w:ascii="Times New Roman" w:hAnsi="Times New Roman" w:cs="Times New Roman"/>
          <w:sz w:val="24"/>
          <w:szCs w:val="24"/>
          <w:lang w:val="en-US"/>
        </w:rPr>
      </w:pPr>
      <w:r w:rsidRPr="00D712D0">
        <w:rPr>
          <w:rFonts w:ascii="Times New Roman" w:hAnsi="Times New Roman" w:cs="Times New Roman"/>
          <w:sz w:val="24"/>
          <w:szCs w:val="24"/>
          <w:lang w:val="en-US"/>
        </w:rPr>
        <w:t>Even now, the PW ratio equals 1.00, meaning that for 1 person eligible for</w:t>
      </w:r>
      <w:r w:rsidR="00A73311" w:rsidRPr="00D712D0">
        <w:rPr>
          <w:rFonts w:ascii="Times New Roman" w:hAnsi="Times New Roman" w:cs="Times New Roman"/>
          <w:sz w:val="24"/>
          <w:szCs w:val="24"/>
          <w:lang w:val="hy-AM"/>
        </w:rPr>
        <w:t xml:space="preserve"> full scale</w:t>
      </w:r>
      <w:r w:rsidRPr="00D712D0">
        <w:rPr>
          <w:rFonts w:ascii="Times New Roman" w:hAnsi="Times New Roman" w:cs="Times New Roman"/>
          <w:sz w:val="24"/>
          <w:szCs w:val="24"/>
          <w:lang w:val="en-US"/>
        </w:rPr>
        <w:t xml:space="preserve"> pension</w:t>
      </w:r>
      <w:r w:rsidR="00A73311" w:rsidRPr="00D712D0">
        <w:rPr>
          <w:rFonts w:ascii="Times New Roman" w:hAnsi="Times New Roman" w:cs="Times New Roman"/>
          <w:sz w:val="24"/>
          <w:szCs w:val="24"/>
          <w:lang w:val="hy-AM"/>
        </w:rPr>
        <w:t xml:space="preserve"> support</w:t>
      </w:r>
      <w:r w:rsidRPr="00D712D0">
        <w:rPr>
          <w:rFonts w:ascii="Times New Roman" w:hAnsi="Times New Roman" w:cs="Times New Roman"/>
          <w:sz w:val="24"/>
          <w:szCs w:val="24"/>
          <w:lang w:val="en-US"/>
        </w:rPr>
        <w:t>, there is only 1 worker, paying for that pension.</w:t>
      </w:r>
    </w:p>
    <w:p w:rsidR="000E61FA" w:rsidRPr="00D712D0" w:rsidRDefault="000E61FA" w:rsidP="004B2674">
      <w:pPr>
        <w:spacing w:after="0" w:line="240" w:lineRule="auto"/>
        <w:jc w:val="both"/>
        <w:rPr>
          <w:rFonts w:ascii="Times New Roman" w:hAnsi="Times New Roman" w:cs="Times New Roman"/>
          <w:sz w:val="24"/>
          <w:szCs w:val="24"/>
          <w:lang w:val="hy-AM"/>
        </w:rPr>
      </w:pPr>
      <w:r w:rsidRPr="00D712D0">
        <w:rPr>
          <w:rFonts w:ascii="Times New Roman" w:hAnsi="Times New Roman" w:cs="Times New Roman"/>
          <w:sz w:val="24"/>
          <w:szCs w:val="24"/>
          <w:lang w:val="en-US"/>
        </w:rPr>
        <w:t>The issu</w:t>
      </w:r>
      <w:r w:rsidR="00A73311" w:rsidRPr="00D712D0">
        <w:rPr>
          <w:rFonts w:ascii="Times New Roman" w:hAnsi="Times New Roman" w:cs="Times New Roman"/>
          <w:sz w:val="24"/>
          <w:szCs w:val="24"/>
          <w:lang w:val="en-US"/>
        </w:rPr>
        <w:t>e of ageing p</w:t>
      </w:r>
      <w:r w:rsidR="00A73311" w:rsidRPr="00D712D0">
        <w:rPr>
          <w:rFonts w:ascii="Times New Roman" w:hAnsi="Times New Roman" w:cs="Times New Roman"/>
          <w:sz w:val="24"/>
          <w:szCs w:val="24"/>
          <w:lang w:val="hy-AM"/>
        </w:rPr>
        <w:t>opulation</w:t>
      </w:r>
      <w:r w:rsidRPr="00D712D0">
        <w:rPr>
          <w:rFonts w:ascii="Times New Roman" w:hAnsi="Times New Roman" w:cs="Times New Roman"/>
          <w:sz w:val="24"/>
          <w:szCs w:val="24"/>
          <w:lang w:val="en-US"/>
        </w:rPr>
        <w:t xml:space="preserve"> </w:t>
      </w:r>
      <w:r w:rsidR="00A73311" w:rsidRPr="00D712D0">
        <w:rPr>
          <w:rFonts w:ascii="Times New Roman" w:hAnsi="Times New Roman" w:cs="Times New Roman"/>
          <w:sz w:val="24"/>
          <w:szCs w:val="24"/>
          <w:lang w:val="hy-AM"/>
        </w:rPr>
        <w:t>must</w:t>
      </w:r>
      <w:r w:rsidRPr="00D712D0">
        <w:rPr>
          <w:rFonts w:ascii="Times New Roman" w:hAnsi="Times New Roman" w:cs="Times New Roman"/>
          <w:sz w:val="24"/>
          <w:szCs w:val="24"/>
          <w:lang w:val="en-US"/>
        </w:rPr>
        <w:t xml:space="preserve"> not be underestimated, as it poses a strong social and economic threat to a country</w:t>
      </w:r>
      <w:r w:rsidR="00A73311" w:rsidRPr="00D712D0">
        <w:rPr>
          <w:rFonts w:ascii="Times New Roman" w:hAnsi="Times New Roman" w:cs="Times New Roman"/>
          <w:sz w:val="24"/>
          <w:szCs w:val="24"/>
          <w:lang w:val="hy-AM"/>
        </w:rPr>
        <w:t xml:space="preserve"> and its people</w:t>
      </w:r>
      <w:r w:rsidRPr="00D712D0">
        <w:rPr>
          <w:rFonts w:ascii="Times New Roman" w:hAnsi="Times New Roman" w:cs="Times New Roman"/>
          <w:sz w:val="24"/>
          <w:szCs w:val="24"/>
          <w:lang w:val="en-US"/>
        </w:rPr>
        <w:t>. However we have to be careful</w:t>
      </w:r>
      <w:r w:rsidR="007238B8" w:rsidRPr="00D712D0">
        <w:rPr>
          <w:rFonts w:ascii="Times New Roman" w:hAnsi="Times New Roman" w:cs="Times New Roman"/>
          <w:sz w:val="24"/>
          <w:szCs w:val="24"/>
          <w:lang w:val="en-US"/>
        </w:rPr>
        <w:t xml:space="preserve"> not to make the mistake of underestimating productivity growth of labor force, and possible technological breakthroughs.</w:t>
      </w:r>
      <w:r w:rsidR="006970FA" w:rsidRPr="00D712D0">
        <w:rPr>
          <w:rFonts w:ascii="Times New Roman" w:hAnsi="Times New Roman" w:cs="Times New Roman"/>
          <w:sz w:val="24"/>
          <w:szCs w:val="24"/>
          <w:lang w:val="en-US"/>
        </w:rPr>
        <w:t xml:space="preserve"> If there are no breakthrou</w:t>
      </w:r>
      <w:r w:rsidR="00A73311" w:rsidRPr="00D712D0">
        <w:rPr>
          <w:rFonts w:ascii="Times New Roman" w:hAnsi="Times New Roman" w:cs="Times New Roman"/>
          <w:sz w:val="24"/>
          <w:szCs w:val="24"/>
          <w:lang w:val="en-US"/>
        </w:rPr>
        <w:t>ghs in productivity field</w:t>
      </w:r>
      <w:r w:rsidR="006970FA" w:rsidRPr="00D712D0">
        <w:rPr>
          <w:rFonts w:ascii="Times New Roman" w:hAnsi="Times New Roman" w:cs="Times New Roman"/>
          <w:sz w:val="24"/>
          <w:szCs w:val="24"/>
          <w:lang w:val="en-US"/>
        </w:rPr>
        <w:t>,</w:t>
      </w:r>
      <w:r w:rsidR="00A73311" w:rsidRPr="00D712D0">
        <w:rPr>
          <w:rFonts w:ascii="Times New Roman" w:hAnsi="Times New Roman" w:cs="Times New Roman"/>
          <w:sz w:val="24"/>
          <w:szCs w:val="24"/>
          <w:lang w:val="hy-AM"/>
        </w:rPr>
        <w:t xml:space="preserve"> such as innovations in various fields of production,</w:t>
      </w:r>
      <w:r w:rsidR="006970FA" w:rsidRPr="00D712D0">
        <w:rPr>
          <w:rFonts w:ascii="Times New Roman" w:hAnsi="Times New Roman" w:cs="Times New Roman"/>
          <w:sz w:val="24"/>
          <w:szCs w:val="24"/>
          <w:lang w:val="en-US"/>
        </w:rPr>
        <w:t xml:space="preserve"> we may assume that the pension system will be the least of our problems.</w:t>
      </w:r>
      <w:r w:rsidR="00212C16" w:rsidRPr="00D712D0">
        <w:rPr>
          <w:rFonts w:ascii="Times New Roman" w:hAnsi="Times New Roman" w:cs="Times New Roman"/>
          <w:sz w:val="24"/>
          <w:szCs w:val="24"/>
          <w:lang w:val="hy-AM"/>
        </w:rPr>
        <w:t xml:space="preserve"> </w:t>
      </w:r>
    </w:p>
    <w:p w:rsidR="00850CF6" w:rsidRPr="00D712D0" w:rsidRDefault="00850CF6" w:rsidP="004B2674">
      <w:pPr>
        <w:spacing w:after="0" w:line="240" w:lineRule="auto"/>
        <w:jc w:val="both"/>
        <w:rPr>
          <w:rFonts w:ascii="Times New Roman" w:hAnsi="Times New Roman" w:cs="Times New Roman"/>
          <w:sz w:val="24"/>
          <w:szCs w:val="24"/>
          <w:lang w:val="hy-AM"/>
        </w:rPr>
      </w:pPr>
    </w:p>
    <w:p w:rsidR="00850CF6" w:rsidRPr="00D712D0" w:rsidRDefault="00850CF6" w:rsidP="004B2674">
      <w:pPr>
        <w:spacing w:after="0" w:line="240" w:lineRule="auto"/>
        <w:jc w:val="both"/>
        <w:rPr>
          <w:rFonts w:ascii="Times New Roman" w:hAnsi="Times New Roman" w:cs="Times New Roman"/>
          <w:sz w:val="24"/>
          <w:szCs w:val="24"/>
          <w:lang w:val="hy-AM"/>
        </w:rPr>
      </w:pPr>
      <w:r w:rsidRPr="00D712D0">
        <w:rPr>
          <w:rFonts w:ascii="Times New Roman" w:hAnsi="Times New Roman" w:cs="Times New Roman"/>
          <w:sz w:val="24"/>
          <w:szCs w:val="24"/>
          <w:lang w:val="hy-AM"/>
        </w:rPr>
        <w:t>Table 1</w:t>
      </w:r>
    </w:p>
    <w:tbl>
      <w:tblPr>
        <w:tblStyle w:val="TableNormal1"/>
        <w:tblW w:w="9571" w:type="dxa"/>
        <w:jc w:val="center"/>
        <w:tblInd w:w="0" w:type="dxa"/>
        <w:tblBorders>
          <w:top w:val="single" w:sz="8" w:space="0" w:color="4F81BD"/>
          <w:bottom w:val="single" w:sz="8" w:space="0" w:color="4F81BD"/>
        </w:tblBorders>
        <w:tblLook w:val="04A0" w:firstRow="1" w:lastRow="0" w:firstColumn="1" w:lastColumn="0" w:noHBand="0" w:noVBand="1"/>
      </w:tblPr>
      <w:tblGrid>
        <w:gridCol w:w="723"/>
        <w:gridCol w:w="1387"/>
        <w:gridCol w:w="1595"/>
        <w:gridCol w:w="2386"/>
        <w:gridCol w:w="1786"/>
        <w:gridCol w:w="1701"/>
      </w:tblGrid>
      <w:tr w:rsidR="00850CF6" w:rsidRPr="00D712D0" w:rsidTr="00F6240A">
        <w:trPr>
          <w:trHeight w:val="980"/>
          <w:jc w:val="center"/>
        </w:trPr>
        <w:tc>
          <w:tcPr>
            <w:tcW w:w="716" w:type="dxa"/>
            <w:tcBorders>
              <w:top w:val="single" w:sz="8" w:space="0" w:color="4F81BD"/>
              <w:left w:val="nil"/>
              <w:bottom w:val="single" w:sz="8" w:space="0" w:color="4F81BD"/>
              <w:right w:val="nil"/>
            </w:tcBorders>
            <w:noWrap/>
            <w:vAlign w:val="center"/>
            <w:hideMark/>
          </w:tcPr>
          <w:p w:rsidR="00850CF6" w:rsidRPr="00D712D0" w:rsidRDefault="00100662" w:rsidP="00F6240A">
            <w:pPr>
              <w:jc w:val="center"/>
              <w:rPr>
                <w:rFonts w:ascii="Times New Roman" w:eastAsia="Times New Roman" w:hAnsi="Times New Roman"/>
                <w:b/>
                <w:bCs/>
                <w:sz w:val="24"/>
                <w:szCs w:val="24"/>
              </w:rPr>
            </w:pPr>
            <w:r>
              <w:rPr>
                <w:rFonts w:ascii="Times New Roman" w:eastAsia="Times New Roman" w:hAnsi="Times New Roman"/>
                <w:b/>
                <w:bCs/>
                <w:sz w:val="24"/>
                <w:szCs w:val="24"/>
              </w:rPr>
              <w:t>Year</w:t>
            </w:r>
          </w:p>
        </w:tc>
        <w:tc>
          <w:tcPr>
            <w:tcW w:w="1387" w:type="dxa"/>
            <w:tcBorders>
              <w:top w:val="single" w:sz="8" w:space="0" w:color="4F81BD"/>
              <w:left w:val="nil"/>
              <w:bottom w:val="single" w:sz="8" w:space="0" w:color="4F81BD"/>
              <w:right w:val="nil"/>
            </w:tcBorders>
            <w:vAlign w:val="center"/>
            <w:hideMark/>
          </w:tcPr>
          <w:p w:rsidR="00850CF6" w:rsidRPr="00D712D0" w:rsidRDefault="00100662" w:rsidP="00100662">
            <w:pPr>
              <w:jc w:val="center"/>
              <w:rPr>
                <w:rFonts w:ascii="Times New Roman" w:eastAsia="Times New Roman" w:hAnsi="Times New Roman"/>
                <w:b/>
                <w:bCs/>
                <w:sz w:val="24"/>
                <w:szCs w:val="24"/>
              </w:rPr>
            </w:pPr>
            <w:r>
              <w:rPr>
                <w:rFonts w:ascii="Times New Roman" w:eastAsia="Times New Roman" w:hAnsi="Times New Roman"/>
                <w:b/>
                <w:bCs/>
                <w:sz w:val="24"/>
                <w:szCs w:val="24"/>
              </w:rPr>
              <w:t>Pension spending</w:t>
            </w:r>
            <w:r w:rsidR="00850CF6" w:rsidRPr="00D712D0">
              <w:rPr>
                <w:rFonts w:ascii="Times New Roman" w:eastAsia="Times New Roman" w:hAnsi="Times New Roman"/>
                <w:b/>
                <w:bCs/>
                <w:sz w:val="24"/>
                <w:szCs w:val="24"/>
              </w:rPr>
              <w:t xml:space="preserve">/ </w:t>
            </w:r>
            <w:r>
              <w:rPr>
                <w:rFonts w:ascii="Times New Roman" w:eastAsia="Times New Roman" w:hAnsi="Times New Roman"/>
                <w:b/>
                <w:bCs/>
                <w:sz w:val="24"/>
                <w:szCs w:val="24"/>
              </w:rPr>
              <w:t>GDP</w:t>
            </w:r>
          </w:p>
        </w:tc>
        <w:tc>
          <w:tcPr>
            <w:tcW w:w="1595" w:type="dxa"/>
            <w:tcBorders>
              <w:top w:val="single" w:sz="8" w:space="0" w:color="4F81BD"/>
              <w:left w:val="nil"/>
              <w:bottom w:val="single" w:sz="8" w:space="0" w:color="4F81BD"/>
              <w:right w:val="nil"/>
            </w:tcBorders>
            <w:vAlign w:val="center"/>
            <w:hideMark/>
          </w:tcPr>
          <w:p w:rsidR="00850CF6" w:rsidRPr="00D712D0" w:rsidRDefault="007F33D2" w:rsidP="007F33D2">
            <w:pPr>
              <w:jc w:val="center"/>
              <w:rPr>
                <w:rFonts w:ascii="Times New Roman" w:eastAsia="Times New Roman" w:hAnsi="Times New Roman"/>
                <w:b/>
                <w:bCs/>
                <w:sz w:val="24"/>
                <w:szCs w:val="24"/>
              </w:rPr>
            </w:pPr>
            <w:r>
              <w:rPr>
                <w:rFonts w:ascii="Times New Roman" w:eastAsia="Times New Roman" w:hAnsi="Times New Roman"/>
                <w:b/>
                <w:bCs/>
                <w:sz w:val="24"/>
                <w:szCs w:val="24"/>
              </w:rPr>
              <w:t>Working pensions</w:t>
            </w:r>
            <w:r w:rsidR="00850CF6" w:rsidRPr="00D712D0">
              <w:rPr>
                <w:rFonts w:ascii="Times New Roman" w:eastAsia="Times New Roman" w:hAnsi="Times New Roman"/>
                <w:b/>
                <w:bCs/>
                <w:sz w:val="24"/>
                <w:szCs w:val="24"/>
              </w:rPr>
              <w:t xml:space="preserve">/ </w:t>
            </w:r>
            <w:r>
              <w:rPr>
                <w:rFonts w:ascii="Times New Roman" w:eastAsia="Times New Roman" w:hAnsi="Times New Roman"/>
                <w:b/>
                <w:bCs/>
                <w:sz w:val="24"/>
                <w:szCs w:val="24"/>
              </w:rPr>
              <w:t>GDP</w:t>
            </w:r>
          </w:p>
        </w:tc>
        <w:tc>
          <w:tcPr>
            <w:tcW w:w="2386" w:type="dxa"/>
            <w:tcBorders>
              <w:top w:val="single" w:sz="8" w:space="0" w:color="4F81BD"/>
              <w:left w:val="nil"/>
              <w:bottom w:val="single" w:sz="8" w:space="0" w:color="4F81BD"/>
              <w:right w:val="nil"/>
            </w:tcBorders>
            <w:vAlign w:val="center"/>
            <w:hideMark/>
          </w:tcPr>
          <w:p w:rsidR="00850CF6" w:rsidRPr="00D712D0" w:rsidRDefault="007F33D2" w:rsidP="007F33D2">
            <w:pPr>
              <w:jc w:val="center"/>
              <w:rPr>
                <w:rFonts w:ascii="Times New Roman" w:eastAsia="Times New Roman" w:hAnsi="Times New Roman"/>
                <w:b/>
                <w:bCs/>
                <w:sz w:val="24"/>
                <w:szCs w:val="24"/>
              </w:rPr>
            </w:pPr>
            <w:r>
              <w:rPr>
                <w:rFonts w:ascii="Times New Roman" w:eastAsia="Times New Roman" w:hAnsi="Times New Roman"/>
                <w:b/>
                <w:bCs/>
                <w:sz w:val="24"/>
                <w:szCs w:val="24"/>
              </w:rPr>
              <w:t>Financing Gap</w:t>
            </w:r>
            <w:r w:rsidR="00850CF6" w:rsidRPr="00D712D0">
              <w:rPr>
                <w:rFonts w:ascii="Times New Roman" w:eastAsia="Times New Roman" w:hAnsi="Times New Roman"/>
                <w:b/>
                <w:bCs/>
                <w:sz w:val="24"/>
                <w:szCs w:val="24"/>
              </w:rPr>
              <w:t xml:space="preserve">/ </w:t>
            </w:r>
            <w:r>
              <w:rPr>
                <w:rFonts w:ascii="Times New Roman" w:eastAsia="Times New Roman" w:hAnsi="Times New Roman"/>
                <w:b/>
                <w:bCs/>
                <w:sz w:val="24"/>
                <w:szCs w:val="24"/>
              </w:rPr>
              <w:t>GDP</w:t>
            </w:r>
          </w:p>
        </w:tc>
        <w:tc>
          <w:tcPr>
            <w:tcW w:w="1786" w:type="dxa"/>
            <w:tcBorders>
              <w:top w:val="single" w:sz="8" w:space="0" w:color="4F81BD"/>
              <w:left w:val="nil"/>
              <w:bottom w:val="single" w:sz="8" w:space="0" w:color="4F81BD"/>
              <w:right w:val="nil"/>
            </w:tcBorders>
            <w:vAlign w:val="center"/>
            <w:hideMark/>
          </w:tcPr>
          <w:p w:rsidR="00850CF6" w:rsidRPr="00D712D0" w:rsidRDefault="007F33D2" w:rsidP="007F33D2">
            <w:pPr>
              <w:jc w:val="center"/>
              <w:rPr>
                <w:rFonts w:ascii="Times New Roman" w:eastAsia="Times New Roman" w:hAnsi="Times New Roman"/>
                <w:b/>
                <w:bCs/>
                <w:sz w:val="24"/>
                <w:szCs w:val="24"/>
              </w:rPr>
            </w:pPr>
            <w:r>
              <w:rPr>
                <w:rFonts w:ascii="Times New Roman" w:eastAsia="Times New Roman" w:hAnsi="Times New Roman"/>
                <w:b/>
                <w:bCs/>
                <w:sz w:val="24"/>
                <w:szCs w:val="24"/>
              </w:rPr>
              <w:t>Social payments</w:t>
            </w:r>
            <w:r w:rsidR="00850CF6" w:rsidRPr="00D712D0">
              <w:rPr>
                <w:rFonts w:ascii="Times New Roman" w:eastAsia="Times New Roman" w:hAnsi="Times New Roman"/>
                <w:b/>
                <w:bCs/>
                <w:sz w:val="24"/>
                <w:szCs w:val="24"/>
              </w:rPr>
              <w:t xml:space="preserve">/ </w:t>
            </w:r>
            <w:r>
              <w:rPr>
                <w:rFonts w:ascii="Times New Roman" w:eastAsia="Times New Roman" w:hAnsi="Times New Roman"/>
                <w:b/>
                <w:bCs/>
                <w:sz w:val="24"/>
                <w:szCs w:val="24"/>
              </w:rPr>
              <w:t>GDP</w:t>
            </w:r>
          </w:p>
        </w:tc>
        <w:tc>
          <w:tcPr>
            <w:tcW w:w="1701" w:type="dxa"/>
            <w:tcBorders>
              <w:top w:val="single" w:sz="8" w:space="0" w:color="4F81BD"/>
              <w:left w:val="nil"/>
              <w:bottom w:val="single" w:sz="8" w:space="0" w:color="4F81BD"/>
              <w:right w:val="nil"/>
            </w:tcBorders>
            <w:vAlign w:val="center"/>
            <w:hideMark/>
          </w:tcPr>
          <w:p w:rsidR="00850CF6" w:rsidRPr="007F33D2" w:rsidRDefault="007F33D2" w:rsidP="007F33D2">
            <w:pPr>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Total expenses on Working pensions</w:t>
            </w:r>
            <w:r w:rsidR="00850CF6" w:rsidRPr="000D6C1C">
              <w:rPr>
                <w:rFonts w:ascii="Times New Roman" w:eastAsia="Times New Roman" w:hAnsi="Times New Roman"/>
                <w:b/>
                <w:bCs/>
                <w:sz w:val="24"/>
                <w:szCs w:val="24"/>
                <w:lang w:val="en-US"/>
              </w:rPr>
              <w:t xml:space="preserve">/ </w:t>
            </w:r>
            <w:r>
              <w:rPr>
                <w:rFonts w:ascii="Times New Roman" w:eastAsia="Times New Roman" w:hAnsi="Times New Roman"/>
                <w:b/>
                <w:bCs/>
                <w:sz w:val="24"/>
                <w:szCs w:val="24"/>
                <w:lang w:val="en-US"/>
              </w:rPr>
              <w:t>gov. Budget</w:t>
            </w:r>
          </w:p>
        </w:tc>
      </w:tr>
      <w:tr w:rsidR="00850CF6" w:rsidRPr="00D712D0" w:rsidTr="00F6240A">
        <w:trPr>
          <w:trHeight w:val="316"/>
          <w:jc w:val="center"/>
        </w:trPr>
        <w:tc>
          <w:tcPr>
            <w:tcW w:w="716"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2012</w:t>
            </w:r>
          </w:p>
        </w:tc>
        <w:tc>
          <w:tcPr>
            <w:tcW w:w="1387"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4.98%</w:t>
            </w:r>
          </w:p>
        </w:tc>
        <w:tc>
          <w:tcPr>
            <w:tcW w:w="1595"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4.2%</w:t>
            </w:r>
          </w:p>
        </w:tc>
        <w:tc>
          <w:tcPr>
            <w:tcW w:w="2386"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0.92%</w:t>
            </w:r>
          </w:p>
        </w:tc>
        <w:tc>
          <w:tcPr>
            <w:tcW w:w="1786"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3.2%</w:t>
            </w:r>
          </w:p>
        </w:tc>
        <w:tc>
          <w:tcPr>
            <w:tcW w:w="1701"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16.6%</w:t>
            </w:r>
          </w:p>
        </w:tc>
      </w:tr>
      <w:tr w:rsidR="00850CF6" w:rsidRPr="00D712D0" w:rsidTr="00F6240A">
        <w:trPr>
          <w:trHeight w:val="316"/>
          <w:jc w:val="center"/>
        </w:trPr>
        <w:tc>
          <w:tcPr>
            <w:tcW w:w="716"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2013</w:t>
            </w:r>
          </w:p>
        </w:tc>
        <w:tc>
          <w:tcPr>
            <w:tcW w:w="1387"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4.48%</w:t>
            </w:r>
          </w:p>
        </w:tc>
        <w:tc>
          <w:tcPr>
            <w:tcW w:w="1595"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3.8%</w:t>
            </w:r>
          </w:p>
        </w:tc>
        <w:tc>
          <w:tcPr>
            <w:tcW w:w="2386"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0.94%</w:t>
            </w:r>
          </w:p>
        </w:tc>
        <w:tc>
          <w:tcPr>
            <w:tcW w:w="1786"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0.0%</w:t>
            </w:r>
          </w:p>
        </w:tc>
        <w:tc>
          <w:tcPr>
            <w:tcW w:w="1701"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14.6%</w:t>
            </w:r>
          </w:p>
        </w:tc>
      </w:tr>
      <w:tr w:rsidR="00850CF6" w:rsidRPr="00D712D0" w:rsidTr="00F6240A">
        <w:trPr>
          <w:trHeight w:val="316"/>
          <w:jc w:val="center"/>
        </w:trPr>
        <w:tc>
          <w:tcPr>
            <w:tcW w:w="716"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2014</w:t>
            </w:r>
          </w:p>
        </w:tc>
        <w:tc>
          <w:tcPr>
            <w:tcW w:w="1387"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4.83%</w:t>
            </w:r>
          </w:p>
        </w:tc>
        <w:tc>
          <w:tcPr>
            <w:tcW w:w="1595"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4.2%</w:t>
            </w:r>
          </w:p>
        </w:tc>
        <w:tc>
          <w:tcPr>
            <w:tcW w:w="2386"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0.85%</w:t>
            </w:r>
          </w:p>
        </w:tc>
        <w:tc>
          <w:tcPr>
            <w:tcW w:w="1786"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0.0%</w:t>
            </w:r>
          </w:p>
        </w:tc>
        <w:tc>
          <w:tcPr>
            <w:tcW w:w="1701"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16.2%</w:t>
            </w:r>
          </w:p>
        </w:tc>
      </w:tr>
      <w:tr w:rsidR="00850CF6" w:rsidRPr="00D712D0" w:rsidTr="00F6240A">
        <w:trPr>
          <w:trHeight w:val="316"/>
          <w:jc w:val="center"/>
        </w:trPr>
        <w:tc>
          <w:tcPr>
            <w:tcW w:w="716"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2015</w:t>
            </w:r>
          </w:p>
        </w:tc>
        <w:tc>
          <w:tcPr>
            <w:tcW w:w="1387"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5.00%</w:t>
            </w:r>
          </w:p>
        </w:tc>
        <w:tc>
          <w:tcPr>
            <w:tcW w:w="1595"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4.31%</w:t>
            </w:r>
          </w:p>
        </w:tc>
        <w:tc>
          <w:tcPr>
            <w:tcW w:w="2386"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0.89%</w:t>
            </w:r>
          </w:p>
        </w:tc>
        <w:tc>
          <w:tcPr>
            <w:tcW w:w="1786"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0.0%</w:t>
            </w:r>
          </w:p>
        </w:tc>
        <w:tc>
          <w:tcPr>
            <w:tcW w:w="1701"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16.8%</w:t>
            </w:r>
          </w:p>
        </w:tc>
      </w:tr>
      <w:tr w:rsidR="00850CF6" w:rsidRPr="00D712D0" w:rsidTr="00F6240A">
        <w:trPr>
          <w:trHeight w:val="316"/>
          <w:jc w:val="center"/>
        </w:trPr>
        <w:tc>
          <w:tcPr>
            <w:tcW w:w="716"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2016</w:t>
            </w:r>
          </w:p>
        </w:tc>
        <w:tc>
          <w:tcPr>
            <w:tcW w:w="1387"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5.54%</w:t>
            </w:r>
          </w:p>
        </w:tc>
        <w:tc>
          <w:tcPr>
            <w:tcW w:w="1595"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4.77%</w:t>
            </w:r>
          </w:p>
        </w:tc>
        <w:tc>
          <w:tcPr>
            <w:tcW w:w="2386"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0.89%</w:t>
            </w:r>
          </w:p>
        </w:tc>
        <w:tc>
          <w:tcPr>
            <w:tcW w:w="1786"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0.0%</w:t>
            </w:r>
          </w:p>
        </w:tc>
        <w:tc>
          <w:tcPr>
            <w:tcW w:w="1701"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18.2%</w:t>
            </w:r>
          </w:p>
        </w:tc>
      </w:tr>
      <w:tr w:rsidR="00850CF6" w:rsidRPr="00D712D0" w:rsidTr="00F6240A">
        <w:trPr>
          <w:trHeight w:val="332"/>
          <w:jc w:val="center"/>
        </w:trPr>
        <w:tc>
          <w:tcPr>
            <w:tcW w:w="716"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2017</w:t>
            </w:r>
          </w:p>
        </w:tc>
        <w:tc>
          <w:tcPr>
            <w:tcW w:w="1387"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5.57%</w:t>
            </w:r>
          </w:p>
        </w:tc>
        <w:tc>
          <w:tcPr>
            <w:tcW w:w="1595"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4.80%</w:t>
            </w:r>
          </w:p>
        </w:tc>
        <w:tc>
          <w:tcPr>
            <w:tcW w:w="2386"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0.99%</w:t>
            </w:r>
          </w:p>
        </w:tc>
        <w:tc>
          <w:tcPr>
            <w:tcW w:w="1786"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0.0%</w:t>
            </w:r>
          </w:p>
        </w:tc>
        <w:tc>
          <w:tcPr>
            <w:tcW w:w="1701"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18.1%</w:t>
            </w:r>
          </w:p>
        </w:tc>
      </w:tr>
      <w:tr w:rsidR="00850CF6" w:rsidRPr="00D712D0" w:rsidTr="00F6240A">
        <w:trPr>
          <w:trHeight w:val="332"/>
          <w:jc w:val="center"/>
        </w:trPr>
        <w:tc>
          <w:tcPr>
            <w:tcW w:w="716"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2018</w:t>
            </w:r>
          </w:p>
        </w:tc>
        <w:tc>
          <w:tcPr>
            <w:tcW w:w="1387"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5.57%</w:t>
            </w:r>
          </w:p>
        </w:tc>
        <w:tc>
          <w:tcPr>
            <w:tcW w:w="1595"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4.81%</w:t>
            </w:r>
          </w:p>
        </w:tc>
        <w:tc>
          <w:tcPr>
            <w:tcW w:w="2386"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1.16%</w:t>
            </w:r>
          </w:p>
        </w:tc>
        <w:tc>
          <w:tcPr>
            <w:tcW w:w="1786"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0.0%</w:t>
            </w:r>
          </w:p>
        </w:tc>
        <w:tc>
          <w:tcPr>
            <w:tcW w:w="1701"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17.9%</w:t>
            </w:r>
          </w:p>
        </w:tc>
      </w:tr>
      <w:tr w:rsidR="00850CF6" w:rsidRPr="00D712D0" w:rsidTr="00F6240A">
        <w:trPr>
          <w:trHeight w:val="316"/>
          <w:jc w:val="center"/>
        </w:trPr>
        <w:tc>
          <w:tcPr>
            <w:tcW w:w="716"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2019</w:t>
            </w:r>
          </w:p>
        </w:tc>
        <w:tc>
          <w:tcPr>
            <w:tcW w:w="1387"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5.61%</w:t>
            </w:r>
          </w:p>
        </w:tc>
        <w:tc>
          <w:tcPr>
            <w:tcW w:w="1595"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4.85%</w:t>
            </w:r>
          </w:p>
        </w:tc>
        <w:tc>
          <w:tcPr>
            <w:tcW w:w="2386"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1.19%</w:t>
            </w:r>
          </w:p>
        </w:tc>
        <w:tc>
          <w:tcPr>
            <w:tcW w:w="1786"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0.0%</w:t>
            </w:r>
          </w:p>
        </w:tc>
        <w:tc>
          <w:tcPr>
            <w:tcW w:w="1701"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17.8%</w:t>
            </w:r>
          </w:p>
        </w:tc>
      </w:tr>
      <w:tr w:rsidR="00850CF6" w:rsidRPr="00D712D0" w:rsidTr="00F6240A">
        <w:trPr>
          <w:trHeight w:val="316"/>
          <w:jc w:val="center"/>
        </w:trPr>
        <w:tc>
          <w:tcPr>
            <w:tcW w:w="716"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2020</w:t>
            </w:r>
          </w:p>
        </w:tc>
        <w:tc>
          <w:tcPr>
            <w:tcW w:w="1387"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5.67%</w:t>
            </w:r>
          </w:p>
        </w:tc>
        <w:tc>
          <w:tcPr>
            <w:tcW w:w="1595"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4.91%</w:t>
            </w:r>
          </w:p>
        </w:tc>
        <w:tc>
          <w:tcPr>
            <w:tcW w:w="2386"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1.23%</w:t>
            </w:r>
          </w:p>
        </w:tc>
        <w:tc>
          <w:tcPr>
            <w:tcW w:w="1786"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0.0%</w:t>
            </w:r>
          </w:p>
        </w:tc>
        <w:tc>
          <w:tcPr>
            <w:tcW w:w="1701"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17.8%</w:t>
            </w:r>
          </w:p>
        </w:tc>
      </w:tr>
      <w:tr w:rsidR="00850CF6" w:rsidRPr="00D712D0" w:rsidTr="00F6240A">
        <w:trPr>
          <w:trHeight w:val="316"/>
          <w:jc w:val="center"/>
        </w:trPr>
        <w:tc>
          <w:tcPr>
            <w:tcW w:w="716"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2021</w:t>
            </w:r>
          </w:p>
        </w:tc>
        <w:tc>
          <w:tcPr>
            <w:tcW w:w="1387"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5.73%</w:t>
            </w:r>
          </w:p>
        </w:tc>
        <w:tc>
          <w:tcPr>
            <w:tcW w:w="1595"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5.0%</w:t>
            </w:r>
          </w:p>
        </w:tc>
        <w:tc>
          <w:tcPr>
            <w:tcW w:w="2386"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1.12%</w:t>
            </w:r>
          </w:p>
        </w:tc>
        <w:tc>
          <w:tcPr>
            <w:tcW w:w="1786"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0.0%</w:t>
            </w:r>
          </w:p>
        </w:tc>
        <w:tc>
          <w:tcPr>
            <w:tcW w:w="1701"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17.8%</w:t>
            </w:r>
          </w:p>
        </w:tc>
      </w:tr>
      <w:tr w:rsidR="00850CF6" w:rsidRPr="00D712D0" w:rsidTr="00F6240A">
        <w:trPr>
          <w:trHeight w:val="316"/>
          <w:jc w:val="center"/>
        </w:trPr>
        <w:tc>
          <w:tcPr>
            <w:tcW w:w="716"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2022</w:t>
            </w:r>
          </w:p>
        </w:tc>
        <w:tc>
          <w:tcPr>
            <w:tcW w:w="1387"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5.81%</w:t>
            </w:r>
          </w:p>
        </w:tc>
        <w:tc>
          <w:tcPr>
            <w:tcW w:w="1595"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5.1%</w:t>
            </w:r>
          </w:p>
        </w:tc>
        <w:tc>
          <w:tcPr>
            <w:tcW w:w="2386"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0.98%</w:t>
            </w:r>
          </w:p>
        </w:tc>
        <w:tc>
          <w:tcPr>
            <w:tcW w:w="1786"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0.0%</w:t>
            </w:r>
          </w:p>
        </w:tc>
        <w:tc>
          <w:tcPr>
            <w:tcW w:w="1701"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17.9%</w:t>
            </w:r>
          </w:p>
        </w:tc>
      </w:tr>
      <w:tr w:rsidR="00850CF6" w:rsidRPr="00D712D0" w:rsidTr="00F6240A">
        <w:trPr>
          <w:trHeight w:val="316"/>
          <w:jc w:val="center"/>
        </w:trPr>
        <w:tc>
          <w:tcPr>
            <w:tcW w:w="716"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2023</w:t>
            </w:r>
          </w:p>
        </w:tc>
        <w:tc>
          <w:tcPr>
            <w:tcW w:w="1387"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5.90%</w:t>
            </w:r>
          </w:p>
        </w:tc>
        <w:tc>
          <w:tcPr>
            <w:tcW w:w="1595"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5.1%</w:t>
            </w:r>
          </w:p>
        </w:tc>
        <w:tc>
          <w:tcPr>
            <w:tcW w:w="2386"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0.86%</w:t>
            </w:r>
          </w:p>
        </w:tc>
        <w:tc>
          <w:tcPr>
            <w:tcW w:w="1786"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0.0%</w:t>
            </w:r>
          </w:p>
        </w:tc>
        <w:tc>
          <w:tcPr>
            <w:tcW w:w="1701" w:type="dxa"/>
            <w:tcBorders>
              <w:top w:val="nil"/>
              <w:left w:val="nil"/>
              <w:bottom w:val="nil"/>
              <w:right w:val="nil"/>
            </w:tcBorders>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18.0%</w:t>
            </w:r>
          </w:p>
        </w:tc>
      </w:tr>
      <w:tr w:rsidR="00850CF6" w:rsidRPr="00D712D0" w:rsidTr="00F6240A">
        <w:trPr>
          <w:trHeight w:val="316"/>
          <w:jc w:val="center"/>
        </w:trPr>
        <w:tc>
          <w:tcPr>
            <w:tcW w:w="716"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2024</w:t>
            </w:r>
          </w:p>
        </w:tc>
        <w:tc>
          <w:tcPr>
            <w:tcW w:w="1387"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5.97%</w:t>
            </w:r>
          </w:p>
        </w:tc>
        <w:tc>
          <w:tcPr>
            <w:tcW w:w="1595"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5.2%</w:t>
            </w:r>
          </w:p>
        </w:tc>
        <w:tc>
          <w:tcPr>
            <w:tcW w:w="2386"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0.76%</w:t>
            </w:r>
          </w:p>
        </w:tc>
        <w:tc>
          <w:tcPr>
            <w:tcW w:w="1786"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0.0%</w:t>
            </w:r>
          </w:p>
        </w:tc>
        <w:tc>
          <w:tcPr>
            <w:tcW w:w="1701" w:type="dxa"/>
            <w:tcBorders>
              <w:top w:val="nil"/>
              <w:left w:val="nil"/>
              <w:bottom w:val="nil"/>
              <w:right w:val="nil"/>
            </w:tcBorders>
            <w:shd w:val="clear" w:color="auto" w:fill="D3DFEE"/>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18.2%</w:t>
            </w:r>
          </w:p>
        </w:tc>
      </w:tr>
      <w:tr w:rsidR="00850CF6" w:rsidRPr="00D712D0" w:rsidTr="00F6240A">
        <w:trPr>
          <w:trHeight w:val="316"/>
          <w:jc w:val="center"/>
        </w:trPr>
        <w:tc>
          <w:tcPr>
            <w:tcW w:w="716" w:type="dxa"/>
            <w:tcBorders>
              <w:top w:val="nil"/>
              <w:left w:val="nil"/>
              <w:bottom w:val="single" w:sz="8" w:space="0" w:color="4F81BD"/>
              <w:right w:val="nil"/>
            </w:tcBorders>
            <w:noWrap/>
            <w:vAlign w:val="center"/>
            <w:hideMark/>
          </w:tcPr>
          <w:p w:rsidR="00850CF6" w:rsidRPr="00D712D0" w:rsidRDefault="00850CF6"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2025</w:t>
            </w:r>
          </w:p>
        </w:tc>
        <w:tc>
          <w:tcPr>
            <w:tcW w:w="1387" w:type="dxa"/>
            <w:tcBorders>
              <w:top w:val="nil"/>
              <w:left w:val="nil"/>
              <w:bottom w:val="single" w:sz="8" w:space="0" w:color="4F81BD"/>
              <w:right w:val="nil"/>
            </w:tcBorders>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6.00%</w:t>
            </w:r>
          </w:p>
        </w:tc>
        <w:tc>
          <w:tcPr>
            <w:tcW w:w="1595" w:type="dxa"/>
            <w:tcBorders>
              <w:top w:val="nil"/>
              <w:left w:val="nil"/>
              <w:bottom w:val="single" w:sz="8" w:space="0" w:color="4F81BD"/>
              <w:right w:val="nil"/>
            </w:tcBorders>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5.3%</w:t>
            </w:r>
          </w:p>
        </w:tc>
        <w:tc>
          <w:tcPr>
            <w:tcW w:w="2386" w:type="dxa"/>
            <w:tcBorders>
              <w:top w:val="nil"/>
              <w:left w:val="nil"/>
              <w:bottom w:val="single" w:sz="8" w:space="0" w:color="4F81BD"/>
              <w:right w:val="nil"/>
            </w:tcBorders>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0.76%</w:t>
            </w:r>
          </w:p>
        </w:tc>
        <w:tc>
          <w:tcPr>
            <w:tcW w:w="1786" w:type="dxa"/>
            <w:tcBorders>
              <w:top w:val="nil"/>
              <w:left w:val="nil"/>
              <w:bottom w:val="single" w:sz="8" w:space="0" w:color="4F81BD"/>
              <w:right w:val="nil"/>
            </w:tcBorders>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0.0%</w:t>
            </w:r>
          </w:p>
        </w:tc>
        <w:tc>
          <w:tcPr>
            <w:tcW w:w="1701" w:type="dxa"/>
            <w:tcBorders>
              <w:top w:val="nil"/>
              <w:left w:val="nil"/>
              <w:bottom w:val="single" w:sz="8" w:space="0" w:color="4F81BD"/>
              <w:right w:val="nil"/>
            </w:tcBorders>
            <w:noWrap/>
            <w:vAlign w:val="center"/>
            <w:hideMark/>
          </w:tcPr>
          <w:p w:rsidR="00850CF6" w:rsidRPr="00D712D0" w:rsidRDefault="00850CF6"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18.3%</w:t>
            </w:r>
          </w:p>
        </w:tc>
      </w:tr>
    </w:tbl>
    <w:p w:rsidR="00850CF6" w:rsidRPr="00D712D0" w:rsidRDefault="00FC3611" w:rsidP="00850CF6">
      <w:pPr>
        <w:rPr>
          <w:rFonts w:ascii="Times New Roman" w:eastAsia="Calibri" w:hAnsi="Times New Roman" w:cs="Times New Roman"/>
          <w:sz w:val="24"/>
          <w:szCs w:val="24"/>
          <w:lang w:val="hy-AM"/>
        </w:rPr>
      </w:pPr>
      <w:r>
        <w:rPr>
          <w:rFonts w:ascii="Times New Roman" w:eastAsia="Calibri" w:hAnsi="Times New Roman" w:cs="Times New Roman"/>
          <w:sz w:val="24"/>
          <w:szCs w:val="24"/>
        </w:rPr>
        <w:t>Source</w:t>
      </w:r>
      <w:r w:rsidR="00850CF6" w:rsidRPr="00D712D0">
        <w:rPr>
          <w:rFonts w:ascii="Times New Roman" w:eastAsia="Calibri" w:hAnsi="Times New Roman" w:cs="Times New Roman"/>
          <w:sz w:val="24"/>
          <w:szCs w:val="24"/>
        </w:rPr>
        <w:t>: ADS Draft Ministry of Finance of RA</w:t>
      </w:r>
      <w:r w:rsidR="00850CF6" w:rsidRPr="00D712D0">
        <w:rPr>
          <w:rFonts w:ascii="Times New Roman" w:eastAsia="Calibri" w:hAnsi="Times New Roman" w:cs="Times New Roman"/>
          <w:sz w:val="24"/>
          <w:szCs w:val="24"/>
          <w:lang w:val="hy-AM"/>
        </w:rPr>
        <w:t>, National Statistic Service of RA</w:t>
      </w:r>
    </w:p>
    <w:p w:rsidR="00850CF6" w:rsidRPr="00D712D0" w:rsidRDefault="00F67F69" w:rsidP="00850CF6">
      <w:pPr>
        <w:rPr>
          <w:rFonts w:ascii="Times New Roman" w:eastAsia="Calibri" w:hAnsi="Times New Roman" w:cs="Times New Roman"/>
          <w:sz w:val="24"/>
          <w:szCs w:val="24"/>
          <w:lang w:val="hy-AM"/>
        </w:rPr>
      </w:pPr>
      <w:r w:rsidRPr="00D712D0">
        <w:rPr>
          <w:rFonts w:ascii="Times New Roman" w:eastAsia="Calibri" w:hAnsi="Times New Roman" w:cs="Times New Roman"/>
          <w:sz w:val="24"/>
          <w:szCs w:val="24"/>
          <w:lang w:val="hy-AM"/>
        </w:rPr>
        <w:t xml:space="preserve"> The GDP growth is </w:t>
      </w:r>
      <w:r w:rsidR="002D745D" w:rsidRPr="00D712D0">
        <w:rPr>
          <w:rFonts w:ascii="Times New Roman" w:eastAsia="Calibri" w:hAnsi="Times New Roman" w:cs="Times New Roman"/>
          <w:sz w:val="24"/>
          <w:szCs w:val="24"/>
          <w:lang w:val="hy-AM"/>
        </w:rPr>
        <w:t>forcasted</w:t>
      </w:r>
      <w:r w:rsidRPr="00D712D0">
        <w:rPr>
          <w:rFonts w:ascii="Times New Roman" w:eastAsia="Calibri" w:hAnsi="Times New Roman" w:cs="Times New Roman"/>
          <w:sz w:val="24"/>
          <w:szCs w:val="24"/>
          <w:lang w:val="hy-AM"/>
        </w:rPr>
        <w:t xml:space="preserve"> at the level of 10%, until late 2017, with a following decline in dynamics</w:t>
      </w:r>
      <w:r w:rsidR="002D745D" w:rsidRPr="00D712D0">
        <w:rPr>
          <w:rFonts w:ascii="Times New Roman" w:eastAsia="Calibri" w:hAnsi="Times New Roman" w:cs="Times New Roman"/>
          <w:sz w:val="24"/>
          <w:szCs w:val="24"/>
          <w:lang w:val="hy-AM"/>
        </w:rPr>
        <w:t xml:space="preserve">. Such level of growth, if achieved, will make it possible for the public sector to sustain the current pension system. </w:t>
      </w:r>
      <w:r w:rsidR="00163E2D" w:rsidRPr="00D712D0">
        <w:rPr>
          <w:rFonts w:ascii="Times New Roman" w:eastAsia="Calibri" w:hAnsi="Times New Roman" w:cs="Times New Roman"/>
          <w:sz w:val="24"/>
          <w:szCs w:val="24"/>
          <w:lang w:val="hy-AM"/>
        </w:rPr>
        <w:t>Moreover, due to economic growth, and concidering armenian social model, non-formal support of the elderly will increse as well, thus increase the value of general consumption bundle, available to the elderly.</w:t>
      </w:r>
    </w:p>
    <w:p w:rsidR="0002093C" w:rsidRPr="00D712D0" w:rsidRDefault="009D7B27" w:rsidP="00850CF6">
      <w:pPr>
        <w:rPr>
          <w:rFonts w:ascii="Times New Roman" w:eastAsia="Calibri" w:hAnsi="Times New Roman" w:cs="Times New Roman"/>
          <w:sz w:val="24"/>
          <w:szCs w:val="24"/>
          <w:lang w:val="hy-AM"/>
        </w:rPr>
      </w:pPr>
      <w:r w:rsidRPr="00D712D0">
        <w:rPr>
          <w:rFonts w:ascii="Times New Roman" w:eastAsia="Calibri" w:hAnsi="Times New Roman" w:cs="Times New Roman"/>
          <w:sz w:val="24"/>
          <w:szCs w:val="24"/>
          <w:lang w:val="hy-AM"/>
        </w:rPr>
        <w:t>The average pension in 2012 amounted to 31,000 AMD, whereas the minimum social pension was 16,000 A</w:t>
      </w:r>
      <w:r w:rsidR="00327D98" w:rsidRPr="00D712D0">
        <w:rPr>
          <w:rFonts w:ascii="Times New Roman" w:eastAsia="Calibri" w:hAnsi="Times New Roman" w:cs="Times New Roman"/>
          <w:sz w:val="24"/>
          <w:szCs w:val="24"/>
          <w:lang w:val="hy-AM"/>
        </w:rPr>
        <w:t>MD. Those amount are not enough for sustaining a fair ammount of consumtion, thus the government is planning to increse minimum-social and security pensions to 54,000 AMD and 117,000 AMD respectivly</w:t>
      </w:r>
      <w:r w:rsidR="00616470" w:rsidRPr="00D712D0">
        <w:rPr>
          <w:rFonts w:ascii="Times New Roman" w:eastAsia="Calibri" w:hAnsi="Times New Roman" w:cs="Times New Roman"/>
          <w:sz w:val="24"/>
          <w:szCs w:val="24"/>
          <w:lang w:val="hy-AM"/>
        </w:rPr>
        <w:t xml:space="preserve"> by 2025</w:t>
      </w:r>
      <w:r w:rsidR="00327D98" w:rsidRPr="00D712D0">
        <w:rPr>
          <w:rFonts w:ascii="Times New Roman" w:eastAsia="Calibri" w:hAnsi="Times New Roman" w:cs="Times New Roman"/>
          <w:sz w:val="24"/>
          <w:szCs w:val="24"/>
          <w:lang w:val="hy-AM"/>
        </w:rPr>
        <w:t>.</w:t>
      </w:r>
      <w:r w:rsidR="00616470" w:rsidRPr="00D712D0">
        <w:rPr>
          <w:rFonts w:ascii="Times New Roman" w:eastAsia="Calibri" w:hAnsi="Times New Roman" w:cs="Times New Roman"/>
          <w:sz w:val="24"/>
          <w:szCs w:val="24"/>
          <w:lang w:val="hy-AM"/>
        </w:rPr>
        <w:t xml:space="preserve"> Thus both security and minimum-social pension ratio to the average wage will remain stable with a slight increase, and ammount to 22.4% and 11.2% respectively. </w:t>
      </w:r>
      <w:r w:rsidR="00F33B73" w:rsidRPr="00D712D0">
        <w:rPr>
          <w:rFonts w:ascii="Times New Roman" w:eastAsia="Calibri" w:hAnsi="Times New Roman" w:cs="Times New Roman"/>
          <w:sz w:val="24"/>
          <w:szCs w:val="24"/>
          <w:lang w:val="hy-AM"/>
        </w:rPr>
        <w:t xml:space="preserve">Those ratios will still be much lower compared to the OECD countries. </w:t>
      </w:r>
    </w:p>
    <w:p w:rsidR="0002093C" w:rsidRPr="00D712D0" w:rsidRDefault="0002093C" w:rsidP="00850CF6">
      <w:pPr>
        <w:rPr>
          <w:rFonts w:ascii="Times New Roman" w:eastAsia="Calibri" w:hAnsi="Times New Roman" w:cs="Times New Roman"/>
          <w:sz w:val="24"/>
          <w:szCs w:val="24"/>
          <w:lang w:val="hy-AM"/>
        </w:rPr>
      </w:pPr>
      <w:r w:rsidRPr="00D712D0">
        <w:rPr>
          <w:rFonts w:ascii="Times New Roman" w:eastAsia="Calibri" w:hAnsi="Times New Roman" w:cs="Times New Roman"/>
          <w:sz w:val="24"/>
          <w:szCs w:val="24"/>
          <w:lang w:val="hy-AM"/>
        </w:rPr>
        <w:t>If the pension support level mentioned above is reached, the public spending on minimum-social pensions and security pensions will take up 18.3% of total government spending, and reach 5% of Armenian GDP by year 2025.</w:t>
      </w:r>
    </w:p>
    <w:p w:rsidR="00F329B0" w:rsidRPr="00D712D0" w:rsidRDefault="00F329B0" w:rsidP="00850CF6">
      <w:pPr>
        <w:rPr>
          <w:rFonts w:ascii="Times New Roman" w:eastAsia="Calibri" w:hAnsi="Times New Roman" w:cs="Times New Roman"/>
          <w:sz w:val="24"/>
          <w:szCs w:val="24"/>
          <w:lang w:val="hy-AM"/>
        </w:rPr>
      </w:pPr>
      <w:r w:rsidRPr="00D712D0">
        <w:rPr>
          <w:rFonts w:ascii="Times New Roman" w:eastAsia="Calibri" w:hAnsi="Times New Roman" w:cs="Times New Roman"/>
          <w:sz w:val="24"/>
          <w:szCs w:val="24"/>
          <w:lang w:val="hy-AM"/>
        </w:rPr>
        <w:t>Table 2</w:t>
      </w:r>
    </w:p>
    <w:tbl>
      <w:tblPr>
        <w:tblStyle w:val="TableNormal1"/>
        <w:tblW w:w="9577" w:type="dxa"/>
        <w:tblInd w:w="0" w:type="dxa"/>
        <w:tblBorders>
          <w:top w:val="single" w:sz="8" w:space="0" w:color="4F81BD"/>
          <w:bottom w:val="single" w:sz="8" w:space="0" w:color="4F81BD"/>
        </w:tblBorders>
        <w:tblLook w:val="04A0" w:firstRow="1" w:lastRow="0" w:firstColumn="1" w:lastColumn="0" w:noHBand="0" w:noVBand="1"/>
      </w:tblPr>
      <w:tblGrid>
        <w:gridCol w:w="723"/>
        <w:gridCol w:w="1991"/>
        <w:gridCol w:w="1991"/>
        <w:gridCol w:w="2881"/>
        <w:gridCol w:w="1991"/>
      </w:tblGrid>
      <w:tr w:rsidR="00F329B0" w:rsidRPr="00D712D0" w:rsidTr="00FC3611">
        <w:trPr>
          <w:trHeight w:val="701"/>
        </w:trPr>
        <w:tc>
          <w:tcPr>
            <w:tcW w:w="723" w:type="dxa"/>
            <w:tcBorders>
              <w:top w:val="single" w:sz="8" w:space="0" w:color="4F81BD"/>
              <w:left w:val="nil"/>
              <w:bottom w:val="single" w:sz="8" w:space="0" w:color="4F81BD"/>
              <w:right w:val="nil"/>
            </w:tcBorders>
            <w:noWrap/>
            <w:vAlign w:val="center"/>
            <w:hideMark/>
          </w:tcPr>
          <w:p w:rsidR="00F329B0" w:rsidRPr="00D712D0" w:rsidRDefault="00FC3611" w:rsidP="00F6240A">
            <w:pPr>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Year</w:t>
            </w:r>
          </w:p>
        </w:tc>
        <w:tc>
          <w:tcPr>
            <w:tcW w:w="1991" w:type="dxa"/>
            <w:tcBorders>
              <w:top w:val="single" w:sz="8" w:space="0" w:color="4F81BD"/>
              <w:left w:val="nil"/>
              <w:bottom w:val="single" w:sz="8" w:space="0" w:color="4F81BD"/>
              <w:right w:val="nil"/>
            </w:tcBorders>
            <w:vAlign w:val="center"/>
            <w:hideMark/>
          </w:tcPr>
          <w:p w:rsidR="00F329B0" w:rsidRPr="00FC3611" w:rsidRDefault="00FC3611" w:rsidP="00FC3611">
            <w:pPr>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Working pensions</w:t>
            </w:r>
            <w:r w:rsidR="00F329B0" w:rsidRPr="000D6C1C">
              <w:rPr>
                <w:rFonts w:ascii="Times New Roman" w:eastAsia="Times New Roman" w:hAnsi="Times New Roman"/>
                <w:b/>
                <w:bCs/>
                <w:sz w:val="24"/>
                <w:szCs w:val="24"/>
                <w:lang w:val="en-US"/>
              </w:rPr>
              <w:t xml:space="preserve">/ </w:t>
            </w:r>
            <w:r>
              <w:rPr>
                <w:rFonts w:ascii="Times New Roman" w:eastAsia="Times New Roman" w:hAnsi="Times New Roman"/>
                <w:b/>
                <w:bCs/>
                <w:sz w:val="24"/>
                <w:szCs w:val="24"/>
                <w:lang w:val="en-US"/>
              </w:rPr>
              <w:t>Middle poverty tier</w:t>
            </w:r>
          </w:p>
        </w:tc>
        <w:tc>
          <w:tcPr>
            <w:tcW w:w="1991" w:type="dxa"/>
            <w:tcBorders>
              <w:top w:val="single" w:sz="8" w:space="0" w:color="4F81BD"/>
              <w:left w:val="nil"/>
              <w:bottom w:val="single" w:sz="8" w:space="0" w:color="4F81BD"/>
              <w:right w:val="nil"/>
            </w:tcBorders>
            <w:vAlign w:val="center"/>
            <w:hideMark/>
          </w:tcPr>
          <w:p w:rsidR="00F329B0" w:rsidRPr="00FC3611" w:rsidRDefault="00FC3611" w:rsidP="00FC3611">
            <w:pPr>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Working pensions</w:t>
            </w:r>
            <w:r w:rsidR="00F329B0" w:rsidRPr="000D6C1C">
              <w:rPr>
                <w:rFonts w:ascii="Times New Roman" w:eastAsia="Times New Roman" w:hAnsi="Times New Roman"/>
                <w:b/>
                <w:bCs/>
                <w:sz w:val="24"/>
                <w:szCs w:val="24"/>
                <w:lang w:val="en-US"/>
              </w:rPr>
              <w:t xml:space="preserve">/ </w:t>
            </w:r>
            <w:r>
              <w:rPr>
                <w:rFonts w:ascii="Times New Roman" w:eastAsia="Times New Roman" w:hAnsi="Times New Roman"/>
                <w:b/>
                <w:bCs/>
                <w:sz w:val="24"/>
                <w:szCs w:val="24"/>
                <w:lang w:val="en-US"/>
              </w:rPr>
              <w:t>upper poverty tier</w:t>
            </w:r>
          </w:p>
        </w:tc>
        <w:tc>
          <w:tcPr>
            <w:tcW w:w="2881" w:type="dxa"/>
            <w:tcBorders>
              <w:top w:val="single" w:sz="8" w:space="0" w:color="4F81BD"/>
              <w:left w:val="nil"/>
              <w:bottom w:val="single" w:sz="8" w:space="0" w:color="4F81BD"/>
              <w:right w:val="nil"/>
            </w:tcBorders>
            <w:vAlign w:val="center"/>
            <w:hideMark/>
          </w:tcPr>
          <w:p w:rsidR="00F329B0" w:rsidRPr="00FC3611" w:rsidRDefault="00FC3611" w:rsidP="00FC3611">
            <w:pPr>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Working pensions</w:t>
            </w:r>
            <w:r w:rsidR="00F329B0" w:rsidRPr="00D712D0">
              <w:rPr>
                <w:rFonts w:ascii="Times New Roman" w:eastAsia="Times New Roman" w:hAnsi="Times New Roman"/>
                <w:b/>
                <w:bCs/>
                <w:sz w:val="24"/>
                <w:szCs w:val="24"/>
                <w:lang w:val="ru-RU"/>
              </w:rPr>
              <w:t xml:space="preserve">/ </w:t>
            </w:r>
            <w:r>
              <w:rPr>
                <w:rFonts w:ascii="Times New Roman" w:eastAsia="Times New Roman" w:hAnsi="Times New Roman"/>
                <w:b/>
                <w:bCs/>
                <w:sz w:val="24"/>
                <w:szCs w:val="24"/>
                <w:lang w:val="en-US"/>
              </w:rPr>
              <w:t>MCB</w:t>
            </w:r>
          </w:p>
        </w:tc>
        <w:tc>
          <w:tcPr>
            <w:tcW w:w="1991" w:type="dxa"/>
            <w:tcBorders>
              <w:top w:val="single" w:sz="8" w:space="0" w:color="4F81BD"/>
              <w:left w:val="nil"/>
              <w:bottom w:val="single" w:sz="8" w:space="0" w:color="4F81BD"/>
              <w:right w:val="nil"/>
            </w:tcBorders>
            <w:vAlign w:val="center"/>
            <w:hideMark/>
          </w:tcPr>
          <w:p w:rsidR="00F329B0" w:rsidRPr="00FC3611" w:rsidRDefault="00FC3611" w:rsidP="00FC3611">
            <w:pPr>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Working pensions</w:t>
            </w:r>
            <w:r w:rsidR="00F329B0" w:rsidRPr="000D6C1C">
              <w:rPr>
                <w:rFonts w:ascii="Times New Roman" w:eastAsia="Times New Roman" w:hAnsi="Times New Roman"/>
                <w:b/>
                <w:bCs/>
                <w:sz w:val="24"/>
                <w:szCs w:val="24"/>
                <w:lang w:val="en-US"/>
              </w:rPr>
              <w:t xml:space="preserve">/ </w:t>
            </w:r>
            <w:r>
              <w:rPr>
                <w:rFonts w:ascii="Times New Roman" w:eastAsia="Times New Roman" w:hAnsi="Times New Roman"/>
                <w:b/>
                <w:bCs/>
                <w:sz w:val="24"/>
                <w:szCs w:val="24"/>
                <w:lang w:val="en-US"/>
              </w:rPr>
              <w:t>Severe poverty rim</w:t>
            </w:r>
          </w:p>
        </w:tc>
      </w:tr>
      <w:tr w:rsidR="00F329B0" w:rsidRPr="00D712D0" w:rsidTr="00FC3611">
        <w:trPr>
          <w:trHeight w:val="300"/>
        </w:trPr>
        <w:tc>
          <w:tcPr>
            <w:tcW w:w="723" w:type="dxa"/>
            <w:tcBorders>
              <w:top w:val="nil"/>
              <w:left w:val="nil"/>
              <w:bottom w:val="nil"/>
              <w:right w:val="nil"/>
            </w:tcBorders>
            <w:shd w:val="clear" w:color="auto" w:fill="D3DFEE"/>
            <w:noWrap/>
            <w:vAlign w:val="center"/>
            <w:hideMark/>
          </w:tcPr>
          <w:p w:rsidR="00F329B0" w:rsidRPr="00D712D0" w:rsidRDefault="00F329B0"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2012</w:t>
            </w:r>
          </w:p>
        </w:tc>
        <w:tc>
          <w:tcPr>
            <w:tcW w:w="1991" w:type="dxa"/>
            <w:tcBorders>
              <w:top w:val="nil"/>
              <w:left w:val="nil"/>
              <w:bottom w:val="nil"/>
              <w:right w:val="nil"/>
            </w:tcBorders>
            <w:shd w:val="clear" w:color="auto" w:fill="D3DFEE"/>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109.8%</w:t>
            </w:r>
          </w:p>
        </w:tc>
        <w:tc>
          <w:tcPr>
            <w:tcW w:w="1991" w:type="dxa"/>
            <w:tcBorders>
              <w:top w:val="nil"/>
              <w:left w:val="nil"/>
              <w:bottom w:val="nil"/>
              <w:right w:val="nil"/>
            </w:tcBorders>
            <w:shd w:val="clear" w:color="auto" w:fill="D3DFEE"/>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89.8%</w:t>
            </w:r>
          </w:p>
        </w:tc>
        <w:tc>
          <w:tcPr>
            <w:tcW w:w="2881" w:type="dxa"/>
            <w:tcBorders>
              <w:top w:val="nil"/>
              <w:left w:val="nil"/>
              <w:bottom w:val="nil"/>
              <w:right w:val="nil"/>
            </w:tcBorders>
            <w:shd w:val="clear" w:color="auto" w:fill="D3DFEE"/>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70.3%</w:t>
            </w:r>
          </w:p>
        </w:tc>
        <w:tc>
          <w:tcPr>
            <w:tcW w:w="1991" w:type="dxa"/>
            <w:tcBorders>
              <w:top w:val="nil"/>
              <w:left w:val="nil"/>
              <w:bottom w:val="nil"/>
              <w:right w:val="nil"/>
            </w:tcBorders>
            <w:shd w:val="clear" w:color="auto" w:fill="D3DFEE"/>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157.3%</w:t>
            </w:r>
          </w:p>
        </w:tc>
      </w:tr>
      <w:tr w:rsidR="00F329B0" w:rsidRPr="00D712D0" w:rsidTr="00FC3611">
        <w:trPr>
          <w:trHeight w:val="300"/>
        </w:trPr>
        <w:tc>
          <w:tcPr>
            <w:tcW w:w="723" w:type="dxa"/>
            <w:tcBorders>
              <w:top w:val="nil"/>
              <w:left w:val="nil"/>
              <w:bottom w:val="nil"/>
              <w:right w:val="nil"/>
            </w:tcBorders>
            <w:noWrap/>
            <w:vAlign w:val="center"/>
            <w:hideMark/>
          </w:tcPr>
          <w:p w:rsidR="00F329B0" w:rsidRPr="00D712D0" w:rsidRDefault="00F329B0"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2013</w:t>
            </w:r>
          </w:p>
        </w:tc>
        <w:tc>
          <w:tcPr>
            <w:tcW w:w="1991" w:type="dxa"/>
            <w:tcBorders>
              <w:top w:val="nil"/>
              <w:left w:val="nil"/>
              <w:bottom w:val="nil"/>
              <w:right w:val="nil"/>
            </w:tcBorders>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104.9%</w:t>
            </w:r>
          </w:p>
        </w:tc>
        <w:tc>
          <w:tcPr>
            <w:tcW w:w="1991" w:type="dxa"/>
            <w:tcBorders>
              <w:top w:val="nil"/>
              <w:left w:val="nil"/>
              <w:bottom w:val="nil"/>
              <w:right w:val="nil"/>
            </w:tcBorders>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85.8%</w:t>
            </w:r>
          </w:p>
        </w:tc>
        <w:tc>
          <w:tcPr>
            <w:tcW w:w="2881" w:type="dxa"/>
            <w:tcBorders>
              <w:top w:val="nil"/>
              <w:left w:val="nil"/>
              <w:bottom w:val="nil"/>
              <w:right w:val="nil"/>
            </w:tcBorders>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67.3%</w:t>
            </w:r>
          </w:p>
        </w:tc>
        <w:tc>
          <w:tcPr>
            <w:tcW w:w="1991" w:type="dxa"/>
            <w:tcBorders>
              <w:top w:val="nil"/>
              <w:left w:val="nil"/>
              <w:bottom w:val="nil"/>
              <w:right w:val="nil"/>
            </w:tcBorders>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150.3%</w:t>
            </w:r>
          </w:p>
        </w:tc>
      </w:tr>
      <w:tr w:rsidR="00F329B0" w:rsidRPr="00D712D0" w:rsidTr="00FC3611">
        <w:trPr>
          <w:trHeight w:val="300"/>
        </w:trPr>
        <w:tc>
          <w:tcPr>
            <w:tcW w:w="723" w:type="dxa"/>
            <w:tcBorders>
              <w:top w:val="nil"/>
              <w:left w:val="nil"/>
              <w:bottom w:val="nil"/>
              <w:right w:val="nil"/>
            </w:tcBorders>
            <w:shd w:val="clear" w:color="auto" w:fill="D3DFEE"/>
            <w:noWrap/>
            <w:vAlign w:val="center"/>
            <w:hideMark/>
          </w:tcPr>
          <w:p w:rsidR="00F329B0" w:rsidRPr="00D712D0" w:rsidRDefault="00F329B0"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2014</w:t>
            </w:r>
          </w:p>
        </w:tc>
        <w:tc>
          <w:tcPr>
            <w:tcW w:w="1991" w:type="dxa"/>
            <w:tcBorders>
              <w:top w:val="nil"/>
              <w:left w:val="nil"/>
              <w:bottom w:val="nil"/>
              <w:right w:val="nil"/>
            </w:tcBorders>
            <w:shd w:val="clear" w:color="auto" w:fill="D3DFEE"/>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121.9%</w:t>
            </w:r>
          </w:p>
        </w:tc>
        <w:tc>
          <w:tcPr>
            <w:tcW w:w="1991" w:type="dxa"/>
            <w:tcBorders>
              <w:top w:val="nil"/>
              <w:left w:val="nil"/>
              <w:bottom w:val="nil"/>
              <w:right w:val="nil"/>
            </w:tcBorders>
            <w:shd w:val="clear" w:color="auto" w:fill="D3DFEE"/>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99.7%</w:t>
            </w:r>
          </w:p>
        </w:tc>
        <w:tc>
          <w:tcPr>
            <w:tcW w:w="2881" w:type="dxa"/>
            <w:tcBorders>
              <w:top w:val="nil"/>
              <w:left w:val="nil"/>
              <w:bottom w:val="nil"/>
              <w:right w:val="nil"/>
            </w:tcBorders>
            <w:shd w:val="clear" w:color="auto" w:fill="D3DFEE"/>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78.2%</w:t>
            </w:r>
          </w:p>
        </w:tc>
        <w:tc>
          <w:tcPr>
            <w:tcW w:w="1991" w:type="dxa"/>
            <w:tcBorders>
              <w:top w:val="nil"/>
              <w:left w:val="nil"/>
              <w:bottom w:val="nil"/>
              <w:right w:val="nil"/>
            </w:tcBorders>
            <w:shd w:val="clear" w:color="auto" w:fill="D3DFEE"/>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174.7%</w:t>
            </w:r>
          </w:p>
        </w:tc>
      </w:tr>
      <w:tr w:rsidR="00F329B0" w:rsidRPr="00D712D0" w:rsidTr="00FC3611">
        <w:trPr>
          <w:trHeight w:val="300"/>
        </w:trPr>
        <w:tc>
          <w:tcPr>
            <w:tcW w:w="723" w:type="dxa"/>
            <w:tcBorders>
              <w:top w:val="nil"/>
              <w:left w:val="nil"/>
              <w:bottom w:val="nil"/>
              <w:right w:val="nil"/>
            </w:tcBorders>
            <w:noWrap/>
            <w:vAlign w:val="center"/>
            <w:hideMark/>
          </w:tcPr>
          <w:p w:rsidR="00F329B0" w:rsidRPr="00D712D0" w:rsidRDefault="00F329B0"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2015</w:t>
            </w:r>
          </w:p>
        </w:tc>
        <w:tc>
          <w:tcPr>
            <w:tcW w:w="1991" w:type="dxa"/>
            <w:tcBorders>
              <w:top w:val="nil"/>
              <w:left w:val="nil"/>
              <w:bottom w:val="nil"/>
              <w:right w:val="nil"/>
            </w:tcBorders>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134.6%</w:t>
            </w:r>
          </w:p>
        </w:tc>
        <w:tc>
          <w:tcPr>
            <w:tcW w:w="1991" w:type="dxa"/>
            <w:tcBorders>
              <w:top w:val="nil"/>
              <w:left w:val="nil"/>
              <w:bottom w:val="nil"/>
              <w:right w:val="nil"/>
            </w:tcBorders>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110.1%</w:t>
            </w:r>
          </w:p>
        </w:tc>
        <w:tc>
          <w:tcPr>
            <w:tcW w:w="2881" w:type="dxa"/>
            <w:tcBorders>
              <w:top w:val="nil"/>
              <w:left w:val="nil"/>
              <w:bottom w:val="nil"/>
              <w:right w:val="nil"/>
            </w:tcBorders>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86.0%</w:t>
            </w:r>
          </w:p>
        </w:tc>
        <w:tc>
          <w:tcPr>
            <w:tcW w:w="1991" w:type="dxa"/>
            <w:tcBorders>
              <w:top w:val="nil"/>
              <w:left w:val="nil"/>
              <w:bottom w:val="nil"/>
              <w:right w:val="nil"/>
            </w:tcBorders>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193.0%</w:t>
            </w:r>
          </w:p>
        </w:tc>
      </w:tr>
      <w:tr w:rsidR="00F329B0" w:rsidRPr="00D712D0" w:rsidTr="00FC3611">
        <w:trPr>
          <w:trHeight w:val="300"/>
        </w:trPr>
        <w:tc>
          <w:tcPr>
            <w:tcW w:w="723" w:type="dxa"/>
            <w:tcBorders>
              <w:top w:val="nil"/>
              <w:left w:val="nil"/>
              <w:bottom w:val="nil"/>
              <w:right w:val="nil"/>
            </w:tcBorders>
            <w:shd w:val="clear" w:color="auto" w:fill="D3DFEE"/>
            <w:noWrap/>
            <w:vAlign w:val="center"/>
            <w:hideMark/>
          </w:tcPr>
          <w:p w:rsidR="00F329B0" w:rsidRPr="00D712D0" w:rsidRDefault="00F329B0"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2016</w:t>
            </w:r>
          </w:p>
        </w:tc>
        <w:tc>
          <w:tcPr>
            <w:tcW w:w="1991" w:type="dxa"/>
            <w:tcBorders>
              <w:top w:val="nil"/>
              <w:left w:val="nil"/>
              <w:bottom w:val="nil"/>
              <w:right w:val="nil"/>
            </w:tcBorders>
            <w:shd w:val="clear" w:color="auto" w:fill="D3DFEE"/>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157.4%</w:t>
            </w:r>
          </w:p>
        </w:tc>
        <w:tc>
          <w:tcPr>
            <w:tcW w:w="1991" w:type="dxa"/>
            <w:tcBorders>
              <w:top w:val="nil"/>
              <w:left w:val="nil"/>
              <w:bottom w:val="nil"/>
              <w:right w:val="nil"/>
            </w:tcBorders>
            <w:shd w:val="clear" w:color="auto" w:fill="D3DFEE"/>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128.7%</w:t>
            </w:r>
          </w:p>
        </w:tc>
        <w:tc>
          <w:tcPr>
            <w:tcW w:w="2881" w:type="dxa"/>
            <w:tcBorders>
              <w:top w:val="nil"/>
              <w:left w:val="nil"/>
              <w:bottom w:val="nil"/>
              <w:right w:val="nil"/>
            </w:tcBorders>
            <w:shd w:val="clear" w:color="auto" w:fill="D3DFEE"/>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100.0%</w:t>
            </w:r>
          </w:p>
        </w:tc>
        <w:tc>
          <w:tcPr>
            <w:tcW w:w="1991" w:type="dxa"/>
            <w:tcBorders>
              <w:top w:val="nil"/>
              <w:left w:val="nil"/>
              <w:bottom w:val="nil"/>
              <w:right w:val="nil"/>
            </w:tcBorders>
            <w:shd w:val="clear" w:color="auto" w:fill="D3DFEE"/>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225.6%</w:t>
            </w:r>
          </w:p>
        </w:tc>
      </w:tr>
      <w:tr w:rsidR="00F329B0" w:rsidRPr="00D712D0" w:rsidTr="00FC3611">
        <w:trPr>
          <w:trHeight w:val="315"/>
        </w:trPr>
        <w:tc>
          <w:tcPr>
            <w:tcW w:w="723" w:type="dxa"/>
            <w:tcBorders>
              <w:top w:val="nil"/>
              <w:left w:val="nil"/>
              <w:bottom w:val="nil"/>
              <w:right w:val="nil"/>
            </w:tcBorders>
            <w:noWrap/>
            <w:vAlign w:val="center"/>
            <w:hideMark/>
          </w:tcPr>
          <w:p w:rsidR="00F329B0" w:rsidRPr="00D712D0" w:rsidRDefault="00F329B0"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2017</w:t>
            </w:r>
          </w:p>
        </w:tc>
        <w:tc>
          <w:tcPr>
            <w:tcW w:w="1991" w:type="dxa"/>
            <w:tcBorders>
              <w:top w:val="nil"/>
              <w:left w:val="nil"/>
              <w:bottom w:val="nil"/>
              <w:right w:val="nil"/>
            </w:tcBorders>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166.7%</w:t>
            </w:r>
          </w:p>
        </w:tc>
        <w:tc>
          <w:tcPr>
            <w:tcW w:w="1991" w:type="dxa"/>
            <w:tcBorders>
              <w:top w:val="nil"/>
              <w:left w:val="nil"/>
              <w:bottom w:val="nil"/>
              <w:right w:val="nil"/>
            </w:tcBorders>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136.3%</w:t>
            </w:r>
          </w:p>
        </w:tc>
        <w:tc>
          <w:tcPr>
            <w:tcW w:w="2881" w:type="dxa"/>
            <w:tcBorders>
              <w:top w:val="nil"/>
              <w:left w:val="nil"/>
              <w:bottom w:val="nil"/>
              <w:right w:val="nil"/>
            </w:tcBorders>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105.5%</w:t>
            </w:r>
          </w:p>
        </w:tc>
        <w:tc>
          <w:tcPr>
            <w:tcW w:w="1991" w:type="dxa"/>
            <w:tcBorders>
              <w:top w:val="nil"/>
              <w:left w:val="nil"/>
              <w:bottom w:val="nil"/>
              <w:right w:val="nil"/>
            </w:tcBorders>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238.9%</w:t>
            </w:r>
          </w:p>
        </w:tc>
      </w:tr>
      <w:tr w:rsidR="00F329B0" w:rsidRPr="00D712D0" w:rsidTr="00FC3611">
        <w:trPr>
          <w:trHeight w:val="315"/>
        </w:trPr>
        <w:tc>
          <w:tcPr>
            <w:tcW w:w="723" w:type="dxa"/>
            <w:tcBorders>
              <w:top w:val="nil"/>
              <w:left w:val="nil"/>
              <w:bottom w:val="nil"/>
              <w:right w:val="nil"/>
            </w:tcBorders>
            <w:shd w:val="clear" w:color="auto" w:fill="D3DFEE"/>
            <w:noWrap/>
            <w:vAlign w:val="center"/>
            <w:hideMark/>
          </w:tcPr>
          <w:p w:rsidR="00F329B0" w:rsidRPr="00D712D0" w:rsidRDefault="00F329B0"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2018</w:t>
            </w:r>
          </w:p>
        </w:tc>
        <w:tc>
          <w:tcPr>
            <w:tcW w:w="1991" w:type="dxa"/>
            <w:tcBorders>
              <w:top w:val="nil"/>
              <w:left w:val="nil"/>
              <w:bottom w:val="nil"/>
              <w:right w:val="nil"/>
            </w:tcBorders>
            <w:shd w:val="clear" w:color="auto" w:fill="D3DFEE"/>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174.6%</w:t>
            </w:r>
          </w:p>
        </w:tc>
        <w:tc>
          <w:tcPr>
            <w:tcW w:w="1991" w:type="dxa"/>
            <w:tcBorders>
              <w:top w:val="nil"/>
              <w:left w:val="nil"/>
              <w:bottom w:val="nil"/>
              <w:right w:val="nil"/>
            </w:tcBorders>
            <w:shd w:val="clear" w:color="auto" w:fill="D3DFEE"/>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142.8%</w:t>
            </w:r>
          </w:p>
        </w:tc>
        <w:tc>
          <w:tcPr>
            <w:tcW w:w="2881" w:type="dxa"/>
            <w:tcBorders>
              <w:top w:val="nil"/>
              <w:left w:val="nil"/>
              <w:bottom w:val="nil"/>
              <w:right w:val="nil"/>
            </w:tcBorders>
            <w:shd w:val="clear" w:color="auto" w:fill="D3DFEE"/>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110.0%</w:t>
            </w:r>
          </w:p>
        </w:tc>
        <w:tc>
          <w:tcPr>
            <w:tcW w:w="1991" w:type="dxa"/>
            <w:tcBorders>
              <w:top w:val="nil"/>
              <w:left w:val="nil"/>
              <w:bottom w:val="nil"/>
              <w:right w:val="nil"/>
            </w:tcBorders>
            <w:shd w:val="clear" w:color="auto" w:fill="D3DFEE"/>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250.2%</w:t>
            </w:r>
          </w:p>
        </w:tc>
      </w:tr>
      <w:tr w:rsidR="00F329B0" w:rsidRPr="00D712D0" w:rsidTr="00FC3611">
        <w:trPr>
          <w:trHeight w:val="300"/>
        </w:trPr>
        <w:tc>
          <w:tcPr>
            <w:tcW w:w="723" w:type="dxa"/>
            <w:tcBorders>
              <w:top w:val="nil"/>
              <w:left w:val="nil"/>
              <w:bottom w:val="nil"/>
              <w:right w:val="nil"/>
            </w:tcBorders>
            <w:noWrap/>
            <w:vAlign w:val="center"/>
            <w:hideMark/>
          </w:tcPr>
          <w:p w:rsidR="00F329B0" w:rsidRPr="00D712D0" w:rsidRDefault="00F329B0"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2019</w:t>
            </w:r>
          </w:p>
        </w:tc>
        <w:tc>
          <w:tcPr>
            <w:tcW w:w="1991" w:type="dxa"/>
            <w:tcBorders>
              <w:top w:val="nil"/>
              <w:left w:val="nil"/>
              <w:bottom w:val="nil"/>
              <w:right w:val="nil"/>
            </w:tcBorders>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183.5%</w:t>
            </w:r>
          </w:p>
        </w:tc>
        <w:tc>
          <w:tcPr>
            <w:tcW w:w="1991" w:type="dxa"/>
            <w:tcBorders>
              <w:top w:val="nil"/>
              <w:left w:val="nil"/>
              <w:bottom w:val="nil"/>
              <w:right w:val="nil"/>
            </w:tcBorders>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150.1%</w:t>
            </w:r>
          </w:p>
        </w:tc>
        <w:tc>
          <w:tcPr>
            <w:tcW w:w="2881" w:type="dxa"/>
            <w:tcBorders>
              <w:top w:val="nil"/>
              <w:left w:val="nil"/>
              <w:bottom w:val="nil"/>
              <w:right w:val="nil"/>
            </w:tcBorders>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115.0%</w:t>
            </w:r>
          </w:p>
        </w:tc>
        <w:tc>
          <w:tcPr>
            <w:tcW w:w="1991" w:type="dxa"/>
            <w:tcBorders>
              <w:top w:val="nil"/>
              <w:left w:val="nil"/>
              <w:bottom w:val="nil"/>
              <w:right w:val="nil"/>
            </w:tcBorders>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263.0%</w:t>
            </w:r>
          </w:p>
        </w:tc>
      </w:tr>
      <w:tr w:rsidR="00F329B0" w:rsidRPr="00D712D0" w:rsidTr="00FC3611">
        <w:trPr>
          <w:trHeight w:val="300"/>
        </w:trPr>
        <w:tc>
          <w:tcPr>
            <w:tcW w:w="723" w:type="dxa"/>
            <w:tcBorders>
              <w:top w:val="nil"/>
              <w:left w:val="nil"/>
              <w:bottom w:val="nil"/>
              <w:right w:val="nil"/>
            </w:tcBorders>
            <w:shd w:val="clear" w:color="auto" w:fill="D3DFEE"/>
            <w:noWrap/>
            <w:vAlign w:val="center"/>
            <w:hideMark/>
          </w:tcPr>
          <w:p w:rsidR="00F329B0" w:rsidRPr="00D712D0" w:rsidRDefault="00F329B0"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2020</w:t>
            </w:r>
          </w:p>
        </w:tc>
        <w:tc>
          <w:tcPr>
            <w:tcW w:w="1991" w:type="dxa"/>
            <w:tcBorders>
              <w:top w:val="nil"/>
              <w:left w:val="nil"/>
              <w:bottom w:val="nil"/>
              <w:right w:val="nil"/>
            </w:tcBorders>
            <w:shd w:val="clear" w:color="auto" w:fill="D3DFEE"/>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192.8%</w:t>
            </w:r>
          </w:p>
        </w:tc>
        <w:tc>
          <w:tcPr>
            <w:tcW w:w="1991" w:type="dxa"/>
            <w:tcBorders>
              <w:top w:val="nil"/>
              <w:left w:val="nil"/>
              <w:bottom w:val="nil"/>
              <w:right w:val="nil"/>
            </w:tcBorders>
            <w:shd w:val="clear" w:color="auto" w:fill="D3DFEE"/>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157.6%</w:t>
            </w:r>
          </w:p>
        </w:tc>
        <w:tc>
          <w:tcPr>
            <w:tcW w:w="2881" w:type="dxa"/>
            <w:tcBorders>
              <w:top w:val="nil"/>
              <w:left w:val="nil"/>
              <w:bottom w:val="nil"/>
              <w:right w:val="nil"/>
            </w:tcBorders>
            <w:shd w:val="clear" w:color="auto" w:fill="D3DFEE"/>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120.0%</w:t>
            </w:r>
          </w:p>
        </w:tc>
        <w:tc>
          <w:tcPr>
            <w:tcW w:w="1991" w:type="dxa"/>
            <w:tcBorders>
              <w:top w:val="nil"/>
              <w:left w:val="nil"/>
              <w:bottom w:val="nil"/>
              <w:right w:val="nil"/>
            </w:tcBorders>
            <w:shd w:val="clear" w:color="auto" w:fill="D3DFEE"/>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276.3%</w:t>
            </w:r>
          </w:p>
        </w:tc>
      </w:tr>
      <w:tr w:rsidR="00F329B0" w:rsidRPr="00D712D0" w:rsidTr="00FC3611">
        <w:trPr>
          <w:trHeight w:val="300"/>
        </w:trPr>
        <w:tc>
          <w:tcPr>
            <w:tcW w:w="723" w:type="dxa"/>
            <w:tcBorders>
              <w:top w:val="nil"/>
              <w:left w:val="nil"/>
              <w:bottom w:val="nil"/>
              <w:right w:val="nil"/>
            </w:tcBorders>
            <w:noWrap/>
            <w:vAlign w:val="center"/>
            <w:hideMark/>
          </w:tcPr>
          <w:p w:rsidR="00F329B0" w:rsidRPr="00D712D0" w:rsidRDefault="00F329B0"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2021</w:t>
            </w:r>
          </w:p>
        </w:tc>
        <w:tc>
          <w:tcPr>
            <w:tcW w:w="1991" w:type="dxa"/>
            <w:tcBorders>
              <w:top w:val="nil"/>
              <w:left w:val="nil"/>
              <w:bottom w:val="nil"/>
              <w:right w:val="nil"/>
            </w:tcBorders>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202.0%</w:t>
            </w:r>
          </w:p>
        </w:tc>
        <w:tc>
          <w:tcPr>
            <w:tcW w:w="1991" w:type="dxa"/>
            <w:tcBorders>
              <w:top w:val="nil"/>
              <w:left w:val="nil"/>
              <w:bottom w:val="nil"/>
              <w:right w:val="nil"/>
            </w:tcBorders>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165.2%</w:t>
            </w:r>
          </w:p>
        </w:tc>
        <w:tc>
          <w:tcPr>
            <w:tcW w:w="2881" w:type="dxa"/>
            <w:tcBorders>
              <w:top w:val="nil"/>
              <w:left w:val="nil"/>
              <w:bottom w:val="nil"/>
              <w:right w:val="nil"/>
            </w:tcBorders>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125.0%</w:t>
            </w:r>
          </w:p>
        </w:tc>
        <w:tc>
          <w:tcPr>
            <w:tcW w:w="1991" w:type="dxa"/>
            <w:tcBorders>
              <w:top w:val="nil"/>
              <w:left w:val="nil"/>
              <w:bottom w:val="nil"/>
              <w:right w:val="nil"/>
            </w:tcBorders>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289.5%</w:t>
            </w:r>
          </w:p>
        </w:tc>
      </w:tr>
      <w:tr w:rsidR="00F329B0" w:rsidRPr="00D712D0" w:rsidTr="00FC3611">
        <w:trPr>
          <w:trHeight w:val="300"/>
        </w:trPr>
        <w:tc>
          <w:tcPr>
            <w:tcW w:w="723" w:type="dxa"/>
            <w:tcBorders>
              <w:top w:val="nil"/>
              <w:left w:val="nil"/>
              <w:bottom w:val="nil"/>
              <w:right w:val="nil"/>
            </w:tcBorders>
            <w:shd w:val="clear" w:color="auto" w:fill="D3DFEE"/>
            <w:noWrap/>
            <w:vAlign w:val="center"/>
            <w:hideMark/>
          </w:tcPr>
          <w:p w:rsidR="00F329B0" w:rsidRPr="00D712D0" w:rsidRDefault="00F329B0"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2022</w:t>
            </w:r>
          </w:p>
        </w:tc>
        <w:tc>
          <w:tcPr>
            <w:tcW w:w="1991" w:type="dxa"/>
            <w:tcBorders>
              <w:top w:val="nil"/>
              <w:left w:val="nil"/>
              <w:bottom w:val="nil"/>
              <w:right w:val="nil"/>
            </w:tcBorders>
            <w:shd w:val="clear" w:color="auto" w:fill="D3DFEE"/>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211.2%</w:t>
            </w:r>
          </w:p>
        </w:tc>
        <w:tc>
          <w:tcPr>
            <w:tcW w:w="1991" w:type="dxa"/>
            <w:tcBorders>
              <w:top w:val="nil"/>
              <w:left w:val="nil"/>
              <w:bottom w:val="nil"/>
              <w:right w:val="nil"/>
            </w:tcBorders>
            <w:shd w:val="clear" w:color="auto" w:fill="D3DFEE"/>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172.7%</w:t>
            </w:r>
          </w:p>
        </w:tc>
        <w:tc>
          <w:tcPr>
            <w:tcW w:w="2881" w:type="dxa"/>
            <w:tcBorders>
              <w:top w:val="nil"/>
              <w:left w:val="nil"/>
              <w:bottom w:val="nil"/>
              <w:right w:val="nil"/>
            </w:tcBorders>
            <w:shd w:val="clear" w:color="auto" w:fill="D3DFEE"/>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130.0%</w:t>
            </w:r>
          </w:p>
        </w:tc>
        <w:tc>
          <w:tcPr>
            <w:tcW w:w="1991" w:type="dxa"/>
            <w:tcBorders>
              <w:top w:val="nil"/>
              <w:left w:val="nil"/>
              <w:bottom w:val="nil"/>
              <w:right w:val="nil"/>
            </w:tcBorders>
            <w:shd w:val="clear" w:color="auto" w:fill="D3DFEE"/>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302.6%</w:t>
            </w:r>
          </w:p>
        </w:tc>
      </w:tr>
      <w:tr w:rsidR="00F329B0" w:rsidRPr="00D712D0" w:rsidTr="00FC3611">
        <w:trPr>
          <w:trHeight w:val="300"/>
        </w:trPr>
        <w:tc>
          <w:tcPr>
            <w:tcW w:w="723" w:type="dxa"/>
            <w:tcBorders>
              <w:top w:val="nil"/>
              <w:left w:val="nil"/>
              <w:bottom w:val="nil"/>
              <w:right w:val="nil"/>
            </w:tcBorders>
            <w:noWrap/>
            <w:vAlign w:val="center"/>
            <w:hideMark/>
          </w:tcPr>
          <w:p w:rsidR="00F329B0" w:rsidRPr="00D712D0" w:rsidRDefault="00F329B0"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2023</w:t>
            </w:r>
          </w:p>
        </w:tc>
        <w:tc>
          <w:tcPr>
            <w:tcW w:w="1991" w:type="dxa"/>
            <w:tcBorders>
              <w:top w:val="nil"/>
              <w:left w:val="nil"/>
              <w:bottom w:val="nil"/>
              <w:right w:val="nil"/>
            </w:tcBorders>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220.5%</w:t>
            </w:r>
          </w:p>
        </w:tc>
        <w:tc>
          <w:tcPr>
            <w:tcW w:w="1991" w:type="dxa"/>
            <w:tcBorders>
              <w:top w:val="nil"/>
              <w:left w:val="nil"/>
              <w:bottom w:val="nil"/>
              <w:right w:val="nil"/>
            </w:tcBorders>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180.3%</w:t>
            </w:r>
          </w:p>
        </w:tc>
        <w:tc>
          <w:tcPr>
            <w:tcW w:w="2881" w:type="dxa"/>
            <w:tcBorders>
              <w:top w:val="nil"/>
              <w:left w:val="nil"/>
              <w:bottom w:val="nil"/>
              <w:right w:val="nil"/>
            </w:tcBorders>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135.0%</w:t>
            </w:r>
          </w:p>
        </w:tc>
        <w:tc>
          <w:tcPr>
            <w:tcW w:w="1991" w:type="dxa"/>
            <w:tcBorders>
              <w:top w:val="nil"/>
              <w:left w:val="nil"/>
              <w:bottom w:val="nil"/>
              <w:right w:val="nil"/>
            </w:tcBorders>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316.0%</w:t>
            </w:r>
          </w:p>
        </w:tc>
      </w:tr>
      <w:tr w:rsidR="00F329B0" w:rsidRPr="00D712D0" w:rsidTr="00FC3611">
        <w:trPr>
          <w:trHeight w:val="300"/>
        </w:trPr>
        <w:tc>
          <w:tcPr>
            <w:tcW w:w="723" w:type="dxa"/>
            <w:tcBorders>
              <w:top w:val="nil"/>
              <w:left w:val="nil"/>
              <w:bottom w:val="nil"/>
              <w:right w:val="nil"/>
            </w:tcBorders>
            <w:shd w:val="clear" w:color="auto" w:fill="D3DFEE"/>
            <w:noWrap/>
            <w:vAlign w:val="center"/>
            <w:hideMark/>
          </w:tcPr>
          <w:p w:rsidR="00F329B0" w:rsidRPr="00D712D0" w:rsidRDefault="00F329B0"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2024</w:t>
            </w:r>
          </w:p>
        </w:tc>
        <w:tc>
          <w:tcPr>
            <w:tcW w:w="1991" w:type="dxa"/>
            <w:tcBorders>
              <w:top w:val="nil"/>
              <w:left w:val="nil"/>
              <w:bottom w:val="nil"/>
              <w:right w:val="nil"/>
            </w:tcBorders>
            <w:shd w:val="clear" w:color="auto" w:fill="D3DFEE"/>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229.9%</w:t>
            </w:r>
          </w:p>
        </w:tc>
        <w:tc>
          <w:tcPr>
            <w:tcW w:w="1991" w:type="dxa"/>
            <w:tcBorders>
              <w:top w:val="nil"/>
              <w:left w:val="nil"/>
              <w:bottom w:val="nil"/>
              <w:right w:val="nil"/>
            </w:tcBorders>
            <w:shd w:val="clear" w:color="auto" w:fill="D3DFEE"/>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188.0%</w:t>
            </w:r>
          </w:p>
        </w:tc>
        <w:tc>
          <w:tcPr>
            <w:tcW w:w="2881" w:type="dxa"/>
            <w:tcBorders>
              <w:top w:val="nil"/>
              <w:left w:val="nil"/>
              <w:bottom w:val="nil"/>
              <w:right w:val="nil"/>
            </w:tcBorders>
            <w:shd w:val="clear" w:color="auto" w:fill="D3DFEE"/>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140.0%</w:t>
            </w:r>
          </w:p>
        </w:tc>
        <w:tc>
          <w:tcPr>
            <w:tcW w:w="1991" w:type="dxa"/>
            <w:tcBorders>
              <w:top w:val="nil"/>
              <w:left w:val="nil"/>
              <w:bottom w:val="nil"/>
              <w:right w:val="nil"/>
            </w:tcBorders>
            <w:shd w:val="clear" w:color="auto" w:fill="D3DFEE"/>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329.5%</w:t>
            </w:r>
          </w:p>
        </w:tc>
      </w:tr>
      <w:tr w:rsidR="00F329B0" w:rsidRPr="00D712D0" w:rsidTr="00FC3611">
        <w:trPr>
          <w:trHeight w:val="300"/>
        </w:trPr>
        <w:tc>
          <w:tcPr>
            <w:tcW w:w="723" w:type="dxa"/>
            <w:tcBorders>
              <w:top w:val="nil"/>
              <w:left w:val="nil"/>
              <w:bottom w:val="single" w:sz="8" w:space="0" w:color="4F81BD"/>
              <w:right w:val="nil"/>
            </w:tcBorders>
            <w:noWrap/>
            <w:vAlign w:val="center"/>
            <w:hideMark/>
          </w:tcPr>
          <w:p w:rsidR="00F329B0" w:rsidRPr="00D712D0" w:rsidRDefault="00F329B0"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2025</w:t>
            </w:r>
          </w:p>
        </w:tc>
        <w:tc>
          <w:tcPr>
            <w:tcW w:w="1991" w:type="dxa"/>
            <w:tcBorders>
              <w:top w:val="nil"/>
              <w:left w:val="nil"/>
              <w:bottom w:val="single" w:sz="8" w:space="0" w:color="4F81BD"/>
              <w:right w:val="nil"/>
            </w:tcBorders>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239.5%</w:t>
            </w:r>
          </w:p>
        </w:tc>
        <w:tc>
          <w:tcPr>
            <w:tcW w:w="1991" w:type="dxa"/>
            <w:tcBorders>
              <w:top w:val="nil"/>
              <w:left w:val="nil"/>
              <w:bottom w:val="single" w:sz="8" w:space="0" w:color="4F81BD"/>
              <w:right w:val="nil"/>
            </w:tcBorders>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195.9%</w:t>
            </w:r>
          </w:p>
        </w:tc>
        <w:tc>
          <w:tcPr>
            <w:tcW w:w="2881" w:type="dxa"/>
            <w:tcBorders>
              <w:top w:val="nil"/>
              <w:left w:val="nil"/>
              <w:bottom w:val="single" w:sz="8" w:space="0" w:color="4F81BD"/>
              <w:right w:val="nil"/>
            </w:tcBorders>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145.0%</w:t>
            </w:r>
          </w:p>
        </w:tc>
        <w:tc>
          <w:tcPr>
            <w:tcW w:w="1991" w:type="dxa"/>
            <w:tcBorders>
              <w:top w:val="nil"/>
              <w:left w:val="nil"/>
              <w:bottom w:val="single" w:sz="8" w:space="0" w:color="4F81BD"/>
              <w:right w:val="nil"/>
            </w:tcBorders>
            <w:noWrap/>
            <w:vAlign w:val="center"/>
            <w:hideMark/>
          </w:tcPr>
          <w:p w:rsidR="00F329B0" w:rsidRPr="00D712D0" w:rsidRDefault="00F329B0"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343.2%</w:t>
            </w:r>
          </w:p>
        </w:tc>
      </w:tr>
    </w:tbl>
    <w:p w:rsidR="00FC3611" w:rsidRPr="00D712D0" w:rsidRDefault="00FC3611" w:rsidP="00FC3611">
      <w:pPr>
        <w:rPr>
          <w:rFonts w:ascii="Times New Roman" w:eastAsia="Calibri" w:hAnsi="Times New Roman" w:cs="Times New Roman"/>
          <w:sz w:val="24"/>
          <w:szCs w:val="24"/>
          <w:lang w:val="hy-AM"/>
        </w:rPr>
      </w:pPr>
      <w:r>
        <w:rPr>
          <w:rFonts w:ascii="Times New Roman" w:eastAsia="Calibri" w:hAnsi="Times New Roman" w:cs="Times New Roman"/>
          <w:sz w:val="24"/>
          <w:szCs w:val="24"/>
        </w:rPr>
        <w:t>Source</w:t>
      </w:r>
      <w:r w:rsidRPr="00D712D0">
        <w:rPr>
          <w:rFonts w:ascii="Times New Roman" w:eastAsia="Calibri" w:hAnsi="Times New Roman" w:cs="Times New Roman"/>
          <w:sz w:val="24"/>
          <w:szCs w:val="24"/>
        </w:rPr>
        <w:t>: ADS Draft Ministry of Finance of RA</w:t>
      </w:r>
      <w:r w:rsidRPr="00D712D0">
        <w:rPr>
          <w:rFonts w:ascii="Times New Roman" w:eastAsia="Calibri" w:hAnsi="Times New Roman" w:cs="Times New Roman"/>
          <w:sz w:val="24"/>
          <w:szCs w:val="24"/>
          <w:lang w:val="hy-AM"/>
        </w:rPr>
        <w:t>, National Statistic Service of RA</w:t>
      </w:r>
    </w:p>
    <w:p w:rsidR="00A97AFA" w:rsidRPr="00D712D0" w:rsidRDefault="00E52747" w:rsidP="004B2674">
      <w:pPr>
        <w:spacing w:after="0" w:line="240" w:lineRule="auto"/>
        <w:jc w:val="both"/>
        <w:rPr>
          <w:rFonts w:ascii="Times New Roman" w:hAnsi="Times New Roman" w:cs="Times New Roman"/>
          <w:sz w:val="24"/>
          <w:szCs w:val="24"/>
          <w:lang w:val="hy-AM"/>
        </w:rPr>
      </w:pPr>
      <w:r w:rsidRPr="00D712D0">
        <w:rPr>
          <w:rFonts w:ascii="Times New Roman" w:hAnsi="Times New Roman" w:cs="Times New Roman"/>
          <w:sz w:val="24"/>
          <w:szCs w:val="24"/>
          <w:lang w:val="hy-AM"/>
        </w:rPr>
        <w:t>It is ea</w:t>
      </w:r>
      <w:r w:rsidR="00A320D7" w:rsidRPr="00D712D0">
        <w:rPr>
          <w:rFonts w:ascii="Times New Roman" w:hAnsi="Times New Roman" w:cs="Times New Roman"/>
          <w:sz w:val="24"/>
          <w:szCs w:val="24"/>
          <w:lang w:val="hy-AM"/>
        </w:rPr>
        <w:t>sy to note, despite relatively stable</w:t>
      </w:r>
      <w:r w:rsidRPr="00D712D0">
        <w:rPr>
          <w:rFonts w:ascii="Times New Roman" w:hAnsi="Times New Roman" w:cs="Times New Roman"/>
          <w:sz w:val="24"/>
          <w:szCs w:val="24"/>
          <w:lang w:val="hy-AM"/>
        </w:rPr>
        <w:t xml:space="preserve"> expenditure growth, the</w:t>
      </w:r>
      <w:r w:rsidR="00A320D7" w:rsidRPr="00D712D0">
        <w:rPr>
          <w:rFonts w:ascii="Times New Roman" w:hAnsi="Times New Roman" w:cs="Times New Roman"/>
          <w:sz w:val="24"/>
          <w:szCs w:val="24"/>
          <w:lang w:val="hy-AM"/>
        </w:rPr>
        <w:t xml:space="preserve"> ratio of</w:t>
      </w:r>
      <w:r w:rsidRPr="00D712D0">
        <w:rPr>
          <w:rFonts w:ascii="Times New Roman" w:hAnsi="Times New Roman" w:cs="Times New Roman"/>
          <w:sz w:val="24"/>
          <w:szCs w:val="24"/>
          <w:lang w:val="hy-AM"/>
        </w:rPr>
        <w:t xml:space="preserve"> pension spending to</w:t>
      </w:r>
      <w:r w:rsidR="00A320D7" w:rsidRPr="00D712D0">
        <w:rPr>
          <w:rFonts w:ascii="Times New Roman" w:hAnsi="Times New Roman" w:cs="Times New Roman"/>
          <w:sz w:val="24"/>
          <w:szCs w:val="24"/>
          <w:lang w:val="hy-AM"/>
        </w:rPr>
        <w:t xml:space="preserve"> the</w:t>
      </w:r>
      <w:r w:rsidRPr="00D712D0">
        <w:rPr>
          <w:rFonts w:ascii="Times New Roman" w:hAnsi="Times New Roman" w:cs="Times New Roman"/>
          <w:sz w:val="24"/>
          <w:szCs w:val="24"/>
          <w:lang w:val="hy-AM"/>
        </w:rPr>
        <w:t xml:space="preserve"> total public spending</w:t>
      </w:r>
      <w:r w:rsidR="00E85EBC" w:rsidRPr="00D712D0">
        <w:rPr>
          <w:rFonts w:ascii="Times New Roman" w:hAnsi="Times New Roman" w:cs="Times New Roman"/>
          <w:sz w:val="24"/>
          <w:szCs w:val="24"/>
          <w:lang w:val="hy-AM"/>
        </w:rPr>
        <w:t xml:space="preserve"> remains dangerously high. Actually it is higher than the average OECD ratio,despite the</w:t>
      </w:r>
      <w:r w:rsidR="00870486" w:rsidRPr="00D712D0">
        <w:rPr>
          <w:rFonts w:ascii="Times New Roman" w:hAnsi="Times New Roman" w:cs="Times New Roman"/>
          <w:sz w:val="24"/>
          <w:szCs w:val="24"/>
          <w:lang w:val="hy-AM"/>
        </w:rPr>
        <w:t xml:space="preserve"> fact, that Armenian system cover</w:t>
      </w:r>
      <w:r w:rsidR="00036B25" w:rsidRPr="00D712D0">
        <w:rPr>
          <w:rFonts w:ascii="Times New Roman" w:hAnsi="Times New Roman" w:cs="Times New Roman"/>
          <w:sz w:val="24"/>
          <w:szCs w:val="24"/>
          <w:lang w:val="hy-AM"/>
        </w:rPr>
        <w:t>s</w:t>
      </w:r>
      <w:r w:rsidR="00870486" w:rsidRPr="00D712D0">
        <w:rPr>
          <w:rFonts w:ascii="Times New Roman" w:hAnsi="Times New Roman" w:cs="Times New Roman"/>
          <w:sz w:val="24"/>
          <w:szCs w:val="24"/>
          <w:lang w:val="hy-AM"/>
        </w:rPr>
        <w:t xml:space="preserve"> only t</w:t>
      </w:r>
      <w:r w:rsidR="00036B25" w:rsidRPr="00D712D0">
        <w:rPr>
          <w:rFonts w:ascii="Times New Roman" w:hAnsi="Times New Roman" w:cs="Times New Roman"/>
          <w:sz w:val="24"/>
          <w:szCs w:val="24"/>
          <w:lang w:val="hy-AM"/>
        </w:rPr>
        <w:t>he</w:t>
      </w:r>
      <w:r w:rsidR="00E85EBC" w:rsidRPr="00D712D0">
        <w:rPr>
          <w:rFonts w:ascii="Times New Roman" w:hAnsi="Times New Roman" w:cs="Times New Roman"/>
          <w:sz w:val="24"/>
          <w:szCs w:val="24"/>
          <w:lang w:val="hy-AM"/>
        </w:rPr>
        <w:t xml:space="preserve"> f</w:t>
      </w:r>
      <w:r w:rsidR="00036B25" w:rsidRPr="00D712D0">
        <w:rPr>
          <w:rFonts w:ascii="Times New Roman" w:hAnsi="Times New Roman" w:cs="Times New Roman"/>
          <w:sz w:val="24"/>
          <w:szCs w:val="24"/>
          <w:lang w:val="hy-AM"/>
        </w:rPr>
        <w:t>ormal employment sector</w:t>
      </w:r>
      <w:r w:rsidR="00E85EBC" w:rsidRPr="00D712D0">
        <w:rPr>
          <w:rFonts w:ascii="Times New Roman" w:hAnsi="Times New Roman" w:cs="Times New Roman"/>
          <w:sz w:val="24"/>
          <w:szCs w:val="24"/>
          <w:lang w:val="hy-AM"/>
        </w:rPr>
        <w:t>.</w:t>
      </w:r>
    </w:p>
    <w:p w:rsidR="00CA4B4E" w:rsidRPr="00D712D0" w:rsidRDefault="00CA4B4E" w:rsidP="00CA4B4E">
      <w:pPr>
        <w:spacing w:after="0" w:line="360" w:lineRule="auto"/>
        <w:ind w:firstLine="709"/>
        <w:jc w:val="both"/>
        <w:rPr>
          <w:rFonts w:ascii="Times New Roman" w:hAnsi="Times New Roman" w:cs="Times New Roman"/>
          <w:sz w:val="24"/>
          <w:szCs w:val="24"/>
          <w:lang w:val="hy-AM"/>
        </w:rPr>
      </w:pPr>
      <w:r w:rsidRPr="00D712D0">
        <w:rPr>
          <w:rFonts w:ascii="Times New Roman" w:hAnsi="Times New Roman" w:cs="Times New Roman"/>
          <w:sz w:val="24"/>
          <w:szCs w:val="24"/>
          <w:lang w:val="hy-AM"/>
        </w:rPr>
        <w:t>In 2012 the average security pension was covering 89.8% of higher poverty tier and 70.3% of minimal consumption bascet. The latter ratio is scheduled to increase by 10.2% by year 2016, and reach the coverage level of 145% by 2025.</w:t>
      </w:r>
      <w:r w:rsidR="00972506" w:rsidRPr="00D712D0">
        <w:rPr>
          <w:rFonts w:ascii="Times New Roman" w:hAnsi="Times New Roman" w:cs="Times New Roman"/>
          <w:sz w:val="24"/>
          <w:szCs w:val="24"/>
          <w:lang w:val="hy-AM"/>
        </w:rPr>
        <w:t xml:space="preserve"> Thus we can state, that part of the gradual increase of public spendings on pension system will be due to increase in average pension level, which will surely increase the welbeeing of the elderly population eligible for security payments. </w:t>
      </w:r>
    </w:p>
    <w:p w:rsidR="002E2E00" w:rsidRPr="00D712D0" w:rsidRDefault="00950153" w:rsidP="002E2E00">
      <w:pPr>
        <w:spacing w:after="0" w:line="240" w:lineRule="auto"/>
        <w:ind w:firstLine="708"/>
        <w:jc w:val="both"/>
        <w:rPr>
          <w:rFonts w:ascii="Times New Roman" w:hAnsi="Times New Roman" w:cs="Times New Roman"/>
          <w:sz w:val="24"/>
          <w:szCs w:val="24"/>
          <w:lang w:val="hy-AM"/>
        </w:rPr>
      </w:pPr>
      <w:r w:rsidRPr="00D712D0">
        <w:rPr>
          <w:rFonts w:ascii="Times New Roman" w:hAnsi="Times New Roman" w:cs="Times New Roman"/>
          <w:sz w:val="24"/>
          <w:szCs w:val="24"/>
          <w:lang w:val="hy-AM"/>
        </w:rPr>
        <w:t>Despite the rise in pension payments, the ratio of pensions to the average wage will not rise past the levels of 2012 (25.8%). Actually, the ratio mentioned above is projected to decrease</w:t>
      </w:r>
      <w:r w:rsidR="002E2E00" w:rsidRPr="00D712D0">
        <w:rPr>
          <w:rFonts w:ascii="Times New Roman" w:hAnsi="Times New Roman" w:cs="Times New Roman"/>
          <w:sz w:val="24"/>
          <w:szCs w:val="24"/>
          <w:lang w:val="hy-AM"/>
        </w:rPr>
        <w:t>. This is bad news, considering the fact that flattening the income level of an individual over his/her lifetime is sometimes considered the main reason of existance of pension systems</w:t>
      </w:r>
      <w:r w:rsidRPr="00D712D0">
        <w:rPr>
          <w:rFonts w:ascii="Times New Roman" w:hAnsi="Times New Roman" w:cs="Times New Roman"/>
          <w:sz w:val="24"/>
          <w:szCs w:val="24"/>
          <w:lang w:val="hy-AM"/>
        </w:rPr>
        <w:t xml:space="preserve">, however we should consider the following: Armenia is not a developed country, </w:t>
      </w:r>
      <w:r w:rsidR="005123D7" w:rsidRPr="00D712D0">
        <w:rPr>
          <w:rFonts w:ascii="Times New Roman" w:hAnsi="Times New Roman" w:cs="Times New Roman"/>
          <w:sz w:val="24"/>
          <w:szCs w:val="24"/>
          <w:lang w:val="hy-AM"/>
        </w:rPr>
        <w:t>the Republic of Armenia is facing the problem of ageing population, uncommon for countries with similar development and income levels (disregarding the CIS</w:t>
      </w:r>
      <w:r w:rsidR="000E07FD" w:rsidRPr="00D712D0">
        <w:rPr>
          <w:rFonts w:ascii="Times New Roman" w:hAnsi="Times New Roman" w:cs="Times New Roman"/>
          <w:sz w:val="24"/>
          <w:szCs w:val="24"/>
          <w:lang w:val="hy-AM"/>
        </w:rPr>
        <w:t xml:space="preserve"> countries</w:t>
      </w:r>
      <w:r w:rsidR="005123D7" w:rsidRPr="00D712D0">
        <w:rPr>
          <w:rFonts w:ascii="Times New Roman" w:hAnsi="Times New Roman" w:cs="Times New Roman"/>
          <w:sz w:val="24"/>
          <w:szCs w:val="24"/>
          <w:lang w:val="hy-AM"/>
        </w:rPr>
        <w:t>)</w:t>
      </w:r>
      <w:r w:rsidR="000E07FD" w:rsidRPr="00D712D0">
        <w:rPr>
          <w:rFonts w:ascii="Times New Roman" w:hAnsi="Times New Roman" w:cs="Times New Roman"/>
          <w:sz w:val="24"/>
          <w:szCs w:val="24"/>
          <w:lang w:val="hy-AM"/>
        </w:rPr>
        <w:t>, the issue of poverty is still acute, especially in regard of elderly poverty. To sumarize- «Armenia is a relatively poor country with ageing population»</w:t>
      </w:r>
      <w:r w:rsidR="002E2E00" w:rsidRPr="00D712D0">
        <w:rPr>
          <w:rFonts w:ascii="Times New Roman" w:hAnsi="Times New Roman" w:cs="Times New Roman"/>
          <w:sz w:val="24"/>
          <w:szCs w:val="24"/>
          <w:lang w:val="hy-AM"/>
        </w:rPr>
        <w:t>, thus the primary goal</w:t>
      </w:r>
      <w:r w:rsidR="000E07FD" w:rsidRPr="00D712D0">
        <w:rPr>
          <w:rFonts w:ascii="Times New Roman" w:hAnsi="Times New Roman" w:cs="Times New Roman"/>
          <w:sz w:val="24"/>
          <w:szCs w:val="24"/>
          <w:lang w:val="hy-AM"/>
        </w:rPr>
        <w:t xml:space="preserve"> should be «fighting» poverty and not flatten</w:t>
      </w:r>
      <w:r w:rsidR="002E2E00" w:rsidRPr="00D712D0">
        <w:rPr>
          <w:rFonts w:ascii="Times New Roman" w:hAnsi="Times New Roman" w:cs="Times New Roman"/>
          <w:sz w:val="24"/>
          <w:szCs w:val="24"/>
          <w:lang w:val="hy-AM"/>
        </w:rPr>
        <w:t>ing</w:t>
      </w:r>
      <w:r w:rsidR="000E07FD" w:rsidRPr="00D712D0">
        <w:rPr>
          <w:rFonts w:ascii="Times New Roman" w:hAnsi="Times New Roman" w:cs="Times New Roman"/>
          <w:sz w:val="24"/>
          <w:szCs w:val="24"/>
          <w:lang w:val="hy-AM"/>
        </w:rPr>
        <w:t xml:space="preserve"> the income over life time.</w:t>
      </w:r>
    </w:p>
    <w:p w:rsidR="00662552" w:rsidRPr="00D712D0" w:rsidRDefault="00662552" w:rsidP="002E2E00">
      <w:pPr>
        <w:spacing w:after="0" w:line="240" w:lineRule="auto"/>
        <w:ind w:firstLine="708"/>
        <w:jc w:val="both"/>
        <w:rPr>
          <w:rFonts w:ascii="Times New Roman" w:hAnsi="Times New Roman" w:cs="Times New Roman"/>
          <w:sz w:val="24"/>
          <w:szCs w:val="24"/>
          <w:lang w:val="hy-AM"/>
        </w:rPr>
      </w:pPr>
    </w:p>
    <w:p w:rsidR="00662552" w:rsidRPr="00D712D0" w:rsidRDefault="00662552" w:rsidP="002E2E00">
      <w:pPr>
        <w:spacing w:after="0" w:line="240" w:lineRule="auto"/>
        <w:ind w:firstLine="708"/>
        <w:jc w:val="both"/>
        <w:rPr>
          <w:rFonts w:ascii="Times New Roman" w:hAnsi="Times New Roman" w:cs="Times New Roman"/>
          <w:sz w:val="24"/>
          <w:szCs w:val="24"/>
          <w:lang w:val="hy-AM"/>
        </w:rPr>
      </w:pPr>
      <w:r w:rsidRPr="00D712D0">
        <w:rPr>
          <w:rFonts w:ascii="Times New Roman" w:hAnsi="Times New Roman" w:cs="Times New Roman"/>
          <w:sz w:val="24"/>
          <w:szCs w:val="24"/>
          <w:lang w:val="hy-AM"/>
        </w:rPr>
        <w:t>Table 3</w:t>
      </w:r>
      <w:r w:rsidR="000E07FD" w:rsidRPr="00D712D0">
        <w:rPr>
          <w:rFonts w:ascii="Times New Roman" w:hAnsi="Times New Roman" w:cs="Times New Roman"/>
          <w:sz w:val="24"/>
          <w:szCs w:val="24"/>
          <w:lang w:val="hy-AM"/>
        </w:rPr>
        <w:t xml:space="preserve"> </w:t>
      </w:r>
      <w:r w:rsidR="00950153" w:rsidRPr="00D712D0">
        <w:rPr>
          <w:rFonts w:ascii="Times New Roman" w:hAnsi="Times New Roman" w:cs="Times New Roman"/>
          <w:sz w:val="24"/>
          <w:szCs w:val="24"/>
          <w:lang w:val="hy-AM"/>
        </w:rPr>
        <w:t xml:space="preserve"> </w:t>
      </w:r>
    </w:p>
    <w:tbl>
      <w:tblPr>
        <w:tblStyle w:val="TableNormal1"/>
        <w:tblW w:w="9572" w:type="dxa"/>
        <w:tblInd w:w="455" w:type="dxa"/>
        <w:tblBorders>
          <w:top w:val="single" w:sz="8" w:space="0" w:color="4F81BD"/>
          <w:bottom w:val="single" w:sz="8" w:space="0" w:color="4F81BD"/>
        </w:tblBorders>
        <w:tblLayout w:type="fixed"/>
        <w:tblLook w:val="04A0" w:firstRow="1" w:lastRow="0" w:firstColumn="1" w:lastColumn="0" w:noHBand="0" w:noVBand="1"/>
      </w:tblPr>
      <w:tblGrid>
        <w:gridCol w:w="697"/>
        <w:gridCol w:w="1371"/>
        <w:gridCol w:w="1779"/>
        <w:gridCol w:w="1328"/>
        <w:gridCol w:w="1419"/>
        <w:gridCol w:w="1375"/>
        <w:gridCol w:w="1603"/>
      </w:tblGrid>
      <w:tr w:rsidR="00662552" w:rsidRPr="00D712D0" w:rsidTr="004830C4">
        <w:trPr>
          <w:trHeight w:val="1192"/>
        </w:trPr>
        <w:tc>
          <w:tcPr>
            <w:tcW w:w="697" w:type="dxa"/>
            <w:tcBorders>
              <w:top w:val="single" w:sz="8" w:space="0" w:color="4F81BD"/>
              <w:left w:val="nil"/>
              <w:bottom w:val="single" w:sz="8" w:space="0" w:color="4F81BD"/>
              <w:right w:val="nil"/>
            </w:tcBorders>
            <w:vAlign w:val="center"/>
            <w:hideMark/>
          </w:tcPr>
          <w:p w:rsidR="00662552" w:rsidRPr="00D712D0" w:rsidRDefault="00FC3611" w:rsidP="00F6240A">
            <w:pPr>
              <w:jc w:val="center"/>
              <w:rPr>
                <w:rFonts w:ascii="Times New Roman" w:eastAsia="Times New Roman" w:hAnsi="Times New Roman"/>
                <w:b/>
                <w:bCs/>
                <w:sz w:val="24"/>
                <w:szCs w:val="24"/>
              </w:rPr>
            </w:pPr>
            <w:r>
              <w:rPr>
                <w:rFonts w:ascii="Times New Roman" w:eastAsia="Times New Roman" w:hAnsi="Times New Roman"/>
                <w:b/>
                <w:bCs/>
                <w:sz w:val="24"/>
                <w:szCs w:val="24"/>
              </w:rPr>
              <w:t>Year</w:t>
            </w:r>
          </w:p>
        </w:tc>
        <w:tc>
          <w:tcPr>
            <w:tcW w:w="1371" w:type="dxa"/>
            <w:tcBorders>
              <w:top w:val="single" w:sz="8" w:space="0" w:color="4F81BD"/>
              <w:left w:val="nil"/>
              <w:bottom w:val="single" w:sz="8" w:space="0" w:color="4F81BD"/>
              <w:right w:val="nil"/>
            </w:tcBorders>
            <w:vAlign w:val="center"/>
            <w:hideMark/>
          </w:tcPr>
          <w:p w:rsidR="00662552" w:rsidRPr="000D6C1C" w:rsidRDefault="00FC3611" w:rsidP="00FC3611">
            <w:pPr>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Basic social pension</w:t>
            </w:r>
            <w:r w:rsidR="00662552" w:rsidRPr="000D6C1C">
              <w:rPr>
                <w:rFonts w:ascii="Times New Roman" w:eastAsia="Times New Roman" w:hAnsi="Times New Roman"/>
                <w:b/>
                <w:bCs/>
                <w:sz w:val="24"/>
                <w:szCs w:val="24"/>
                <w:lang w:val="en-US"/>
              </w:rPr>
              <w:t xml:space="preserve"> (</w:t>
            </w:r>
            <w:r>
              <w:rPr>
                <w:rFonts w:ascii="Times New Roman" w:eastAsia="Times New Roman" w:hAnsi="Times New Roman"/>
                <w:b/>
                <w:bCs/>
                <w:sz w:val="24"/>
                <w:szCs w:val="24"/>
                <w:lang w:val="en-US"/>
              </w:rPr>
              <w:t>thsd. AMD</w:t>
            </w:r>
            <w:r w:rsidR="00662552" w:rsidRPr="000D6C1C">
              <w:rPr>
                <w:rFonts w:ascii="Times New Roman" w:eastAsia="Times New Roman" w:hAnsi="Times New Roman"/>
                <w:b/>
                <w:bCs/>
                <w:sz w:val="24"/>
                <w:szCs w:val="24"/>
                <w:lang w:val="en-US"/>
              </w:rPr>
              <w:t>)</w:t>
            </w:r>
          </w:p>
        </w:tc>
        <w:tc>
          <w:tcPr>
            <w:tcW w:w="1779" w:type="dxa"/>
            <w:tcBorders>
              <w:top w:val="single" w:sz="8" w:space="0" w:color="4F81BD"/>
              <w:left w:val="nil"/>
              <w:bottom w:val="single" w:sz="8" w:space="0" w:color="4F81BD"/>
              <w:right w:val="nil"/>
            </w:tcBorders>
            <w:vAlign w:val="center"/>
            <w:hideMark/>
          </w:tcPr>
          <w:p w:rsidR="00662552" w:rsidRPr="000D6C1C" w:rsidRDefault="00FC3611" w:rsidP="00FC3611">
            <w:pPr>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Minimal consumption bascet</w:t>
            </w:r>
            <w:r w:rsidR="00662552" w:rsidRPr="000D6C1C">
              <w:rPr>
                <w:rFonts w:ascii="Times New Roman" w:eastAsia="Times New Roman" w:hAnsi="Times New Roman"/>
                <w:b/>
                <w:bCs/>
                <w:sz w:val="24"/>
                <w:szCs w:val="24"/>
                <w:lang w:val="en-US"/>
              </w:rPr>
              <w:t xml:space="preserve"> (</w:t>
            </w:r>
            <w:r>
              <w:rPr>
                <w:rFonts w:ascii="Times New Roman" w:eastAsia="Times New Roman" w:hAnsi="Times New Roman"/>
                <w:b/>
                <w:bCs/>
                <w:sz w:val="24"/>
                <w:szCs w:val="24"/>
                <w:lang w:val="en-US"/>
              </w:rPr>
              <w:t>thsd AMD</w:t>
            </w:r>
            <w:r w:rsidR="00662552" w:rsidRPr="000D6C1C">
              <w:rPr>
                <w:rFonts w:ascii="Times New Roman" w:eastAsia="Times New Roman" w:hAnsi="Times New Roman"/>
                <w:b/>
                <w:bCs/>
                <w:sz w:val="24"/>
                <w:szCs w:val="24"/>
                <w:lang w:val="en-US"/>
              </w:rPr>
              <w:t>)</w:t>
            </w:r>
          </w:p>
        </w:tc>
        <w:tc>
          <w:tcPr>
            <w:tcW w:w="1328" w:type="dxa"/>
            <w:tcBorders>
              <w:top w:val="single" w:sz="8" w:space="0" w:color="4F81BD"/>
              <w:left w:val="nil"/>
              <w:bottom w:val="single" w:sz="8" w:space="0" w:color="4F81BD"/>
              <w:right w:val="nil"/>
            </w:tcBorders>
            <w:vAlign w:val="center"/>
            <w:hideMark/>
          </w:tcPr>
          <w:p w:rsidR="00662552" w:rsidRPr="000D6C1C" w:rsidRDefault="00FC3611" w:rsidP="00FC3611">
            <w:pPr>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Basic social pension</w:t>
            </w:r>
            <w:r w:rsidR="00662552" w:rsidRPr="000D6C1C">
              <w:rPr>
                <w:rFonts w:ascii="Times New Roman" w:eastAsia="Times New Roman" w:hAnsi="Times New Roman"/>
                <w:b/>
                <w:bCs/>
                <w:sz w:val="24"/>
                <w:szCs w:val="24"/>
                <w:lang w:val="en-US"/>
              </w:rPr>
              <w:t xml:space="preserve">/ </w:t>
            </w:r>
            <w:r>
              <w:rPr>
                <w:rFonts w:ascii="Times New Roman" w:eastAsia="Times New Roman" w:hAnsi="Times New Roman"/>
                <w:b/>
                <w:bCs/>
                <w:sz w:val="24"/>
                <w:szCs w:val="24"/>
                <w:lang w:val="en-US"/>
              </w:rPr>
              <w:t>working pension</w:t>
            </w:r>
            <w:r w:rsidR="00662552" w:rsidRPr="000D6C1C">
              <w:rPr>
                <w:rFonts w:ascii="Times New Roman" w:eastAsia="Times New Roman" w:hAnsi="Times New Roman"/>
                <w:b/>
                <w:bCs/>
                <w:sz w:val="24"/>
                <w:szCs w:val="24"/>
                <w:lang w:val="en-US"/>
              </w:rPr>
              <w:t xml:space="preserve"> %</w:t>
            </w:r>
          </w:p>
        </w:tc>
        <w:tc>
          <w:tcPr>
            <w:tcW w:w="1419" w:type="dxa"/>
            <w:tcBorders>
              <w:top w:val="single" w:sz="8" w:space="0" w:color="4F81BD"/>
              <w:left w:val="nil"/>
              <w:bottom w:val="single" w:sz="8" w:space="0" w:color="4F81BD"/>
              <w:right w:val="nil"/>
            </w:tcBorders>
            <w:vAlign w:val="center"/>
            <w:hideMark/>
          </w:tcPr>
          <w:p w:rsidR="00662552" w:rsidRPr="000D6C1C" w:rsidRDefault="00FC3611" w:rsidP="00FC3611">
            <w:pPr>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Basic social pension</w:t>
            </w:r>
            <w:r w:rsidR="00662552" w:rsidRPr="000D6C1C">
              <w:rPr>
                <w:rFonts w:ascii="Times New Roman" w:eastAsia="Times New Roman" w:hAnsi="Times New Roman"/>
                <w:b/>
                <w:bCs/>
                <w:sz w:val="24"/>
                <w:szCs w:val="24"/>
                <w:lang w:val="en-US"/>
              </w:rPr>
              <w:t>/</w:t>
            </w:r>
            <w:r>
              <w:rPr>
                <w:rFonts w:ascii="Times New Roman" w:eastAsia="Times New Roman" w:hAnsi="Times New Roman"/>
                <w:b/>
                <w:bCs/>
                <w:sz w:val="24"/>
                <w:szCs w:val="24"/>
                <w:lang w:val="en-US"/>
              </w:rPr>
              <w:t>lower poverty tier</w:t>
            </w:r>
            <w:r w:rsidR="00662552" w:rsidRPr="000D6C1C">
              <w:rPr>
                <w:rFonts w:ascii="Times New Roman" w:eastAsia="Times New Roman" w:hAnsi="Times New Roman"/>
                <w:b/>
                <w:bCs/>
                <w:sz w:val="24"/>
                <w:szCs w:val="24"/>
                <w:lang w:val="en-US"/>
              </w:rPr>
              <w:t xml:space="preserve"> %</w:t>
            </w:r>
          </w:p>
        </w:tc>
        <w:tc>
          <w:tcPr>
            <w:tcW w:w="1375" w:type="dxa"/>
            <w:tcBorders>
              <w:top w:val="single" w:sz="8" w:space="0" w:color="4F81BD"/>
              <w:left w:val="nil"/>
              <w:bottom w:val="single" w:sz="8" w:space="0" w:color="4F81BD"/>
              <w:right w:val="nil"/>
            </w:tcBorders>
            <w:vAlign w:val="center"/>
            <w:hideMark/>
          </w:tcPr>
          <w:p w:rsidR="00662552" w:rsidRPr="000D6C1C" w:rsidRDefault="00FC3611" w:rsidP="00FC3611">
            <w:pPr>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Basic social pension</w:t>
            </w:r>
            <w:r w:rsidRPr="000D6C1C">
              <w:rPr>
                <w:rFonts w:ascii="Times New Roman" w:eastAsia="Times New Roman" w:hAnsi="Times New Roman"/>
                <w:b/>
                <w:bCs/>
                <w:sz w:val="24"/>
                <w:szCs w:val="24"/>
                <w:lang w:val="en-US"/>
              </w:rPr>
              <w:t xml:space="preserve"> </w:t>
            </w:r>
            <w:r w:rsidR="00662552" w:rsidRPr="000D6C1C">
              <w:rPr>
                <w:rFonts w:ascii="Times New Roman" w:eastAsia="Times New Roman" w:hAnsi="Times New Roman"/>
                <w:b/>
                <w:bCs/>
                <w:sz w:val="24"/>
                <w:szCs w:val="24"/>
                <w:lang w:val="en-US"/>
              </w:rPr>
              <w:t xml:space="preserve">/ </w:t>
            </w:r>
            <w:r>
              <w:rPr>
                <w:rFonts w:ascii="Times New Roman" w:eastAsia="Times New Roman" w:hAnsi="Times New Roman"/>
                <w:b/>
                <w:bCs/>
                <w:sz w:val="24"/>
                <w:szCs w:val="24"/>
                <w:lang w:val="en-US"/>
              </w:rPr>
              <w:t>severe poverty rim</w:t>
            </w:r>
            <w:r w:rsidR="00662552" w:rsidRPr="000D6C1C">
              <w:rPr>
                <w:rFonts w:ascii="Times New Roman" w:eastAsia="Times New Roman" w:hAnsi="Times New Roman"/>
                <w:b/>
                <w:bCs/>
                <w:sz w:val="24"/>
                <w:szCs w:val="24"/>
                <w:lang w:val="en-US"/>
              </w:rPr>
              <w:t xml:space="preserve"> %</w:t>
            </w:r>
          </w:p>
        </w:tc>
        <w:tc>
          <w:tcPr>
            <w:tcW w:w="1603" w:type="dxa"/>
            <w:tcBorders>
              <w:top w:val="single" w:sz="8" w:space="0" w:color="4F81BD"/>
              <w:left w:val="nil"/>
              <w:bottom w:val="single" w:sz="8" w:space="0" w:color="4F81BD"/>
              <w:right w:val="nil"/>
            </w:tcBorders>
            <w:vAlign w:val="center"/>
            <w:hideMark/>
          </w:tcPr>
          <w:p w:rsidR="00662552" w:rsidRPr="00FC3611" w:rsidRDefault="00FC3611" w:rsidP="00F6240A">
            <w:pPr>
              <w:jc w:val="center"/>
              <w:rPr>
                <w:rFonts w:ascii="Times New Roman" w:eastAsia="Times New Roman" w:hAnsi="Times New Roman"/>
                <w:b/>
                <w:bCs/>
                <w:sz w:val="24"/>
                <w:szCs w:val="24"/>
                <w:lang w:val="en-US"/>
              </w:rPr>
            </w:pPr>
            <w:r>
              <w:rPr>
                <w:rFonts w:ascii="Times New Roman" w:eastAsia="Times New Roman" w:hAnsi="Times New Roman"/>
                <w:b/>
                <w:bCs/>
                <w:sz w:val="24"/>
                <w:szCs w:val="24"/>
                <w:lang w:val="en-US"/>
              </w:rPr>
              <w:t>Elderly population (thsd. p.)</w:t>
            </w:r>
          </w:p>
        </w:tc>
      </w:tr>
      <w:tr w:rsidR="00662552" w:rsidRPr="00D712D0" w:rsidTr="004830C4">
        <w:trPr>
          <w:trHeight w:val="300"/>
        </w:trPr>
        <w:tc>
          <w:tcPr>
            <w:tcW w:w="697"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2012</w:t>
            </w:r>
          </w:p>
        </w:tc>
        <w:tc>
          <w:tcPr>
            <w:tcW w:w="1371"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16.2</w:t>
            </w:r>
          </w:p>
        </w:tc>
        <w:tc>
          <w:tcPr>
            <w:tcW w:w="1779"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44.6</w:t>
            </w:r>
          </w:p>
        </w:tc>
        <w:tc>
          <w:tcPr>
            <w:tcW w:w="1328"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51.7%</w:t>
            </w:r>
          </w:p>
        </w:tc>
        <w:tc>
          <w:tcPr>
            <w:tcW w:w="1419"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56.8%</w:t>
            </w:r>
          </w:p>
        </w:tc>
        <w:tc>
          <w:tcPr>
            <w:tcW w:w="1375"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81.4%</w:t>
            </w:r>
          </w:p>
        </w:tc>
        <w:tc>
          <w:tcPr>
            <w:tcW w:w="1603"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347.1</w:t>
            </w:r>
          </w:p>
        </w:tc>
      </w:tr>
      <w:tr w:rsidR="00662552" w:rsidRPr="00D712D0" w:rsidTr="004830C4">
        <w:trPr>
          <w:trHeight w:val="300"/>
        </w:trPr>
        <w:tc>
          <w:tcPr>
            <w:tcW w:w="697"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2013</w:t>
            </w:r>
          </w:p>
        </w:tc>
        <w:tc>
          <w:tcPr>
            <w:tcW w:w="1371"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16.3</w:t>
            </w:r>
          </w:p>
        </w:tc>
        <w:tc>
          <w:tcPr>
            <w:tcW w:w="1779"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46.6</w:t>
            </w:r>
          </w:p>
        </w:tc>
        <w:tc>
          <w:tcPr>
            <w:tcW w:w="1328"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51.8%</w:t>
            </w:r>
          </w:p>
        </w:tc>
        <w:tc>
          <w:tcPr>
            <w:tcW w:w="1419"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54.4%</w:t>
            </w:r>
          </w:p>
        </w:tc>
        <w:tc>
          <w:tcPr>
            <w:tcW w:w="1375"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77.9%</w:t>
            </w:r>
          </w:p>
        </w:tc>
        <w:tc>
          <w:tcPr>
            <w:tcW w:w="1603"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347.1</w:t>
            </w:r>
          </w:p>
        </w:tc>
      </w:tr>
      <w:tr w:rsidR="00662552" w:rsidRPr="00D712D0" w:rsidTr="004830C4">
        <w:trPr>
          <w:trHeight w:val="300"/>
        </w:trPr>
        <w:tc>
          <w:tcPr>
            <w:tcW w:w="697"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2014</w:t>
            </w:r>
          </w:p>
        </w:tc>
        <w:tc>
          <w:tcPr>
            <w:tcW w:w="1371"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18.3</w:t>
            </w:r>
          </w:p>
        </w:tc>
        <w:tc>
          <w:tcPr>
            <w:tcW w:w="1779"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48.4</w:t>
            </w:r>
          </w:p>
        </w:tc>
        <w:tc>
          <w:tcPr>
            <w:tcW w:w="1328"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48.5%</w:t>
            </w:r>
          </w:p>
        </w:tc>
        <w:tc>
          <w:tcPr>
            <w:tcW w:w="1419"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59.1%</w:t>
            </w:r>
          </w:p>
        </w:tc>
        <w:tc>
          <w:tcPr>
            <w:tcW w:w="1375"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84.7%</w:t>
            </w:r>
          </w:p>
        </w:tc>
        <w:tc>
          <w:tcPr>
            <w:tcW w:w="1603"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348.7</w:t>
            </w:r>
          </w:p>
        </w:tc>
      </w:tr>
      <w:tr w:rsidR="00662552" w:rsidRPr="00D712D0" w:rsidTr="004830C4">
        <w:trPr>
          <w:trHeight w:val="300"/>
        </w:trPr>
        <w:tc>
          <w:tcPr>
            <w:tcW w:w="697"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2015</w:t>
            </w:r>
          </w:p>
        </w:tc>
        <w:tc>
          <w:tcPr>
            <w:tcW w:w="1371"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21.3</w:t>
            </w:r>
          </w:p>
        </w:tc>
        <w:tc>
          <w:tcPr>
            <w:tcW w:w="1779"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50.3</w:t>
            </w:r>
          </w:p>
        </w:tc>
        <w:tc>
          <w:tcPr>
            <w:tcW w:w="1328"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49.2%</w:t>
            </w:r>
          </w:p>
        </w:tc>
        <w:tc>
          <w:tcPr>
            <w:tcW w:w="1419"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66.3%</w:t>
            </w:r>
          </w:p>
        </w:tc>
        <w:tc>
          <w:tcPr>
            <w:tcW w:w="1375"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95.0%</w:t>
            </w:r>
          </w:p>
        </w:tc>
        <w:tc>
          <w:tcPr>
            <w:tcW w:w="1603"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352.5</w:t>
            </w:r>
          </w:p>
        </w:tc>
      </w:tr>
      <w:tr w:rsidR="00662552" w:rsidRPr="00D712D0" w:rsidTr="004830C4">
        <w:trPr>
          <w:trHeight w:val="300"/>
        </w:trPr>
        <w:tc>
          <w:tcPr>
            <w:tcW w:w="697"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2016</w:t>
            </w:r>
          </w:p>
        </w:tc>
        <w:tc>
          <w:tcPr>
            <w:tcW w:w="1371"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26.2</w:t>
            </w:r>
          </w:p>
        </w:tc>
        <w:tc>
          <w:tcPr>
            <w:tcW w:w="1779"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52.3</w:t>
            </w:r>
          </w:p>
        </w:tc>
        <w:tc>
          <w:tcPr>
            <w:tcW w:w="1328"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50.0%</w:t>
            </w:r>
          </w:p>
        </w:tc>
        <w:tc>
          <w:tcPr>
            <w:tcW w:w="1419"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78.7%</w:t>
            </w:r>
          </w:p>
        </w:tc>
        <w:tc>
          <w:tcPr>
            <w:tcW w:w="1375"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112.8%</w:t>
            </w:r>
          </w:p>
        </w:tc>
        <w:tc>
          <w:tcPr>
            <w:tcW w:w="1603"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356.7</w:t>
            </w:r>
          </w:p>
        </w:tc>
      </w:tr>
      <w:tr w:rsidR="00662552" w:rsidRPr="00D712D0" w:rsidTr="004830C4">
        <w:trPr>
          <w:trHeight w:val="300"/>
        </w:trPr>
        <w:tc>
          <w:tcPr>
            <w:tcW w:w="697"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2017</w:t>
            </w:r>
          </w:p>
        </w:tc>
        <w:tc>
          <w:tcPr>
            <w:tcW w:w="1371"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28.7</w:t>
            </w:r>
          </w:p>
        </w:tc>
        <w:tc>
          <w:tcPr>
            <w:tcW w:w="1779"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54.4</w:t>
            </w:r>
          </w:p>
        </w:tc>
        <w:tc>
          <w:tcPr>
            <w:tcW w:w="1328"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50.0%</w:t>
            </w:r>
          </w:p>
        </w:tc>
        <w:tc>
          <w:tcPr>
            <w:tcW w:w="1419"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83.4%</w:t>
            </w:r>
          </w:p>
        </w:tc>
        <w:tc>
          <w:tcPr>
            <w:tcW w:w="1375"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119.5%</w:t>
            </w:r>
          </w:p>
        </w:tc>
        <w:tc>
          <w:tcPr>
            <w:tcW w:w="1603"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362.0</w:t>
            </w:r>
          </w:p>
        </w:tc>
      </w:tr>
      <w:tr w:rsidR="00662552" w:rsidRPr="00D712D0" w:rsidTr="004830C4">
        <w:trPr>
          <w:trHeight w:val="300"/>
        </w:trPr>
        <w:tc>
          <w:tcPr>
            <w:tcW w:w="697"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2018</w:t>
            </w:r>
          </w:p>
        </w:tc>
        <w:tc>
          <w:tcPr>
            <w:tcW w:w="1371"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31.1</w:t>
            </w:r>
          </w:p>
        </w:tc>
        <w:tc>
          <w:tcPr>
            <w:tcW w:w="1779"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56.6</w:t>
            </w:r>
          </w:p>
        </w:tc>
        <w:tc>
          <w:tcPr>
            <w:tcW w:w="1328"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50.0%</w:t>
            </w:r>
          </w:p>
        </w:tc>
        <w:tc>
          <w:tcPr>
            <w:tcW w:w="1419"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87.3%</w:t>
            </w:r>
          </w:p>
        </w:tc>
        <w:tc>
          <w:tcPr>
            <w:tcW w:w="1375"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125.1%</w:t>
            </w:r>
          </w:p>
        </w:tc>
        <w:tc>
          <w:tcPr>
            <w:tcW w:w="1603"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370.1</w:t>
            </w:r>
          </w:p>
        </w:tc>
      </w:tr>
      <w:tr w:rsidR="00662552" w:rsidRPr="00D712D0" w:rsidTr="004830C4">
        <w:trPr>
          <w:trHeight w:val="300"/>
        </w:trPr>
        <w:tc>
          <w:tcPr>
            <w:tcW w:w="697"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lastRenderedPageBreak/>
              <w:t>2019</w:t>
            </w:r>
          </w:p>
        </w:tc>
        <w:tc>
          <w:tcPr>
            <w:tcW w:w="1371"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33.8</w:t>
            </w:r>
          </w:p>
        </w:tc>
        <w:tc>
          <w:tcPr>
            <w:tcW w:w="1779"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58.9</w:t>
            </w:r>
          </w:p>
        </w:tc>
        <w:tc>
          <w:tcPr>
            <w:tcW w:w="1328"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50.0%</w:t>
            </w:r>
          </w:p>
        </w:tc>
        <w:tc>
          <w:tcPr>
            <w:tcW w:w="1419"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91.7%</w:t>
            </w:r>
          </w:p>
        </w:tc>
        <w:tc>
          <w:tcPr>
            <w:tcW w:w="1375"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131.5%</w:t>
            </w:r>
          </w:p>
        </w:tc>
        <w:tc>
          <w:tcPr>
            <w:tcW w:w="1603"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380.0</w:t>
            </w:r>
          </w:p>
        </w:tc>
      </w:tr>
      <w:tr w:rsidR="00662552" w:rsidRPr="00D712D0" w:rsidTr="004830C4">
        <w:trPr>
          <w:trHeight w:val="300"/>
        </w:trPr>
        <w:tc>
          <w:tcPr>
            <w:tcW w:w="697"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2020</w:t>
            </w:r>
          </w:p>
        </w:tc>
        <w:tc>
          <w:tcPr>
            <w:tcW w:w="1371"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36.7</w:t>
            </w:r>
          </w:p>
        </w:tc>
        <w:tc>
          <w:tcPr>
            <w:tcW w:w="1779"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61.2</w:t>
            </w:r>
          </w:p>
        </w:tc>
        <w:tc>
          <w:tcPr>
            <w:tcW w:w="1328"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50.0%</w:t>
            </w:r>
          </w:p>
        </w:tc>
        <w:tc>
          <w:tcPr>
            <w:tcW w:w="1419"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96.4%</w:t>
            </w:r>
          </w:p>
        </w:tc>
        <w:tc>
          <w:tcPr>
            <w:tcW w:w="1375"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138.1%</w:t>
            </w:r>
          </w:p>
        </w:tc>
        <w:tc>
          <w:tcPr>
            <w:tcW w:w="1603"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392.1</w:t>
            </w:r>
          </w:p>
        </w:tc>
      </w:tr>
      <w:tr w:rsidR="00662552" w:rsidRPr="00D712D0" w:rsidTr="004830C4">
        <w:trPr>
          <w:trHeight w:val="300"/>
        </w:trPr>
        <w:tc>
          <w:tcPr>
            <w:tcW w:w="697"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2021</w:t>
            </w:r>
          </w:p>
        </w:tc>
        <w:tc>
          <w:tcPr>
            <w:tcW w:w="1371"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39.8</w:t>
            </w:r>
          </w:p>
        </w:tc>
        <w:tc>
          <w:tcPr>
            <w:tcW w:w="1779"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63.7</w:t>
            </w:r>
          </w:p>
        </w:tc>
        <w:tc>
          <w:tcPr>
            <w:tcW w:w="1328"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50.0%</w:t>
            </w:r>
          </w:p>
        </w:tc>
        <w:tc>
          <w:tcPr>
            <w:tcW w:w="1419"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101.0%</w:t>
            </w:r>
          </w:p>
        </w:tc>
        <w:tc>
          <w:tcPr>
            <w:tcW w:w="1375"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144.7%</w:t>
            </w:r>
          </w:p>
        </w:tc>
        <w:tc>
          <w:tcPr>
            <w:tcW w:w="1603"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406.2</w:t>
            </w:r>
          </w:p>
        </w:tc>
      </w:tr>
      <w:tr w:rsidR="00662552" w:rsidRPr="00D712D0" w:rsidTr="004830C4">
        <w:trPr>
          <w:trHeight w:val="300"/>
        </w:trPr>
        <w:tc>
          <w:tcPr>
            <w:tcW w:w="697"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2022</w:t>
            </w:r>
          </w:p>
        </w:tc>
        <w:tc>
          <w:tcPr>
            <w:tcW w:w="1371"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43.0</w:t>
            </w:r>
          </w:p>
        </w:tc>
        <w:tc>
          <w:tcPr>
            <w:tcW w:w="1779"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66.2</w:t>
            </w:r>
          </w:p>
        </w:tc>
        <w:tc>
          <w:tcPr>
            <w:tcW w:w="1328"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50.0%</w:t>
            </w:r>
          </w:p>
        </w:tc>
        <w:tc>
          <w:tcPr>
            <w:tcW w:w="1419"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105.6%</w:t>
            </w:r>
          </w:p>
        </w:tc>
        <w:tc>
          <w:tcPr>
            <w:tcW w:w="1375"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151.3%</w:t>
            </w:r>
          </w:p>
        </w:tc>
        <w:tc>
          <w:tcPr>
            <w:tcW w:w="1603"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422.3</w:t>
            </w:r>
          </w:p>
        </w:tc>
      </w:tr>
      <w:tr w:rsidR="00662552" w:rsidRPr="00D712D0" w:rsidTr="004830C4">
        <w:trPr>
          <w:trHeight w:val="300"/>
        </w:trPr>
        <w:tc>
          <w:tcPr>
            <w:tcW w:w="697"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2023</w:t>
            </w:r>
          </w:p>
        </w:tc>
        <w:tc>
          <w:tcPr>
            <w:tcW w:w="1371"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46.5</w:t>
            </w:r>
          </w:p>
        </w:tc>
        <w:tc>
          <w:tcPr>
            <w:tcW w:w="1779"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68.9</w:t>
            </w:r>
          </w:p>
        </w:tc>
        <w:tc>
          <w:tcPr>
            <w:tcW w:w="1328"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50.0%</w:t>
            </w:r>
          </w:p>
        </w:tc>
        <w:tc>
          <w:tcPr>
            <w:tcW w:w="1419"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110.2%</w:t>
            </w:r>
          </w:p>
        </w:tc>
        <w:tc>
          <w:tcPr>
            <w:tcW w:w="1375"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158.0%</w:t>
            </w:r>
          </w:p>
        </w:tc>
        <w:tc>
          <w:tcPr>
            <w:tcW w:w="1603" w:type="dxa"/>
            <w:tcBorders>
              <w:top w:val="nil"/>
              <w:left w:val="nil"/>
              <w:bottom w:val="nil"/>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440.1</w:t>
            </w:r>
          </w:p>
        </w:tc>
      </w:tr>
      <w:tr w:rsidR="00662552" w:rsidRPr="00D712D0" w:rsidTr="004830C4">
        <w:trPr>
          <w:trHeight w:val="300"/>
        </w:trPr>
        <w:tc>
          <w:tcPr>
            <w:tcW w:w="697"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2024</w:t>
            </w:r>
          </w:p>
        </w:tc>
        <w:tc>
          <w:tcPr>
            <w:tcW w:w="1371"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50.1</w:t>
            </w:r>
          </w:p>
        </w:tc>
        <w:tc>
          <w:tcPr>
            <w:tcW w:w="1779"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71.6</w:t>
            </w:r>
          </w:p>
        </w:tc>
        <w:tc>
          <w:tcPr>
            <w:tcW w:w="1328"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50.0%</w:t>
            </w:r>
          </w:p>
        </w:tc>
        <w:tc>
          <w:tcPr>
            <w:tcW w:w="1419"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115.0%</w:t>
            </w:r>
          </w:p>
        </w:tc>
        <w:tc>
          <w:tcPr>
            <w:tcW w:w="1375"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164.8%</w:t>
            </w:r>
          </w:p>
        </w:tc>
        <w:tc>
          <w:tcPr>
            <w:tcW w:w="1603" w:type="dxa"/>
            <w:tcBorders>
              <w:top w:val="nil"/>
              <w:left w:val="nil"/>
              <w:bottom w:val="nil"/>
              <w:right w:val="nil"/>
            </w:tcBorders>
            <w:shd w:val="clear" w:color="auto" w:fill="D3DFEE"/>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458.7</w:t>
            </w:r>
          </w:p>
        </w:tc>
      </w:tr>
      <w:tr w:rsidR="00662552" w:rsidRPr="00D712D0" w:rsidTr="004830C4">
        <w:trPr>
          <w:trHeight w:val="300"/>
        </w:trPr>
        <w:tc>
          <w:tcPr>
            <w:tcW w:w="697" w:type="dxa"/>
            <w:tcBorders>
              <w:top w:val="nil"/>
              <w:left w:val="nil"/>
              <w:bottom w:val="single" w:sz="8" w:space="0" w:color="4F81BD"/>
              <w:right w:val="nil"/>
            </w:tcBorders>
            <w:noWrap/>
            <w:vAlign w:val="center"/>
            <w:hideMark/>
          </w:tcPr>
          <w:p w:rsidR="00662552" w:rsidRPr="00D712D0" w:rsidRDefault="00662552"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2025</w:t>
            </w:r>
          </w:p>
        </w:tc>
        <w:tc>
          <w:tcPr>
            <w:tcW w:w="1371" w:type="dxa"/>
            <w:tcBorders>
              <w:top w:val="nil"/>
              <w:left w:val="nil"/>
              <w:bottom w:val="single" w:sz="8" w:space="0" w:color="4F81BD"/>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54.0</w:t>
            </w:r>
          </w:p>
        </w:tc>
        <w:tc>
          <w:tcPr>
            <w:tcW w:w="1779" w:type="dxa"/>
            <w:tcBorders>
              <w:top w:val="nil"/>
              <w:left w:val="nil"/>
              <w:bottom w:val="single" w:sz="8" w:space="0" w:color="4F81BD"/>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74.5</w:t>
            </w:r>
          </w:p>
        </w:tc>
        <w:tc>
          <w:tcPr>
            <w:tcW w:w="1328" w:type="dxa"/>
            <w:tcBorders>
              <w:top w:val="nil"/>
              <w:left w:val="nil"/>
              <w:bottom w:val="single" w:sz="8" w:space="0" w:color="4F81BD"/>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50.0%</w:t>
            </w:r>
          </w:p>
        </w:tc>
        <w:tc>
          <w:tcPr>
            <w:tcW w:w="1419" w:type="dxa"/>
            <w:tcBorders>
              <w:top w:val="nil"/>
              <w:left w:val="nil"/>
              <w:bottom w:val="single" w:sz="8" w:space="0" w:color="4F81BD"/>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119.7%</w:t>
            </w:r>
          </w:p>
        </w:tc>
        <w:tc>
          <w:tcPr>
            <w:tcW w:w="1375" w:type="dxa"/>
            <w:tcBorders>
              <w:top w:val="nil"/>
              <w:left w:val="nil"/>
              <w:bottom w:val="single" w:sz="8" w:space="0" w:color="4F81BD"/>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171.6%</w:t>
            </w:r>
          </w:p>
        </w:tc>
        <w:tc>
          <w:tcPr>
            <w:tcW w:w="1603" w:type="dxa"/>
            <w:tcBorders>
              <w:top w:val="nil"/>
              <w:left w:val="nil"/>
              <w:bottom w:val="single" w:sz="8" w:space="0" w:color="4F81BD"/>
              <w:right w:val="nil"/>
            </w:tcBorders>
            <w:noWrap/>
            <w:vAlign w:val="center"/>
            <w:hideMark/>
          </w:tcPr>
          <w:p w:rsidR="00662552" w:rsidRPr="00D712D0" w:rsidRDefault="00662552"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474.7</w:t>
            </w:r>
          </w:p>
        </w:tc>
      </w:tr>
    </w:tbl>
    <w:p w:rsidR="004830C4" w:rsidRPr="00D712D0" w:rsidRDefault="004830C4" w:rsidP="004830C4">
      <w:pPr>
        <w:rPr>
          <w:rFonts w:ascii="Times New Roman" w:eastAsia="Calibri" w:hAnsi="Times New Roman" w:cs="Times New Roman"/>
          <w:sz w:val="24"/>
          <w:szCs w:val="24"/>
          <w:lang w:val="hy-AM"/>
        </w:rPr>
      </w:pPr>
      <w:r>
        <w:rPr>
          <w:rFonts w:ascii="Times New Roman" w:eastAsia="Calibri" w:hAnsi="Times New Roman" w:cs="Times New Roman"/>
          <w:sz w:val="24"/>
          <w:szCs w:val="24"/>
        </w:rPr>
        <w:t>Source</w:t>
      </w:r>
      <w:r w:rsidRPr="00D712D0">
        <w:rPr>
          <w:rFonts w:ascii="Times New Roman" w:eastAsia="Calibri" w:hAnsi="Times New Roman" w:cs="Times New Roman"/>
          <w:sz w:val="24"/>
          <w:szCs w:val="24"/>
        </w:rPr>
        <w:t>: ADS Draft Ministry of Finance of RA</w:t>
      </w:r>
      <w:r w:rsidRPr="00D712D0">
        <w:rPr>
          <w:rFonts w:ascii="Times New Roman" w:eastAsia="Calibri" w:hAnsi="Times New Roman" w:cs="Times New Roman"/>
          <w:sz w:val="24"/>
          <w:szCs w:val="24"/>
          <w:lang w:val="hy-AM"/>
        </w:rPr>
        <w:t>, National Statistic Service of RA</w:t>
      </w:r>
    </w:p>
    <w:p w:rsidR="00753850" w:rsidRPr="00D712D0" w:rsidRDefault="00662552" w:rsidP="00753850">
      <w:pPr>
        <w:spacing w:after="0" w:line="240" w:lineRule="auto"/>
        <w:ind w:firstLine="708"/>
        <w:jc w:val="both"/>
        <w:rPr>
          <w:rFonts w:ascii="Times New Roman" w:hAnsi="Times New Roman" w:cs="Times New Roman"/>
          <w:sz w:val="24"/>
          <w:szCs w:val="24"/>
          <w:lang w:val="hy-AM"/>
        </w:rPr>
      </w:pPr>
      <w:r w:rsidRPr="00D712D0">
        <w:rPr>
          <w:rFonts w:ascii="Times New Roman" w:hAnsi="Times New Roman" w:cs="Times New Roman"/>
          <w:sz w:val="24"/>
          <w:szCs w:val="24"/>
          <w:lang w:val="hy-AM"/>
        </w:rPr>
        <w:t xml:space="preserve">Untill recently the pensionable age </w:t>
      </w:r>
      <w:r w:rsidR="005B7BFF" w:rsidRPr="00D712D0">
        <w:rPr>
          <w:rFonts w:ascii="Times New Roman" w:hAnsi="Times New Roman" w:cs="Times New Roman"/>
          <w:sz w:val="24"/>
          <w:szCs w:val="24"/>
          <w:lang w:val="hy-AM"/>
        </w:rPr>
        <w:t>was 65 for men and 63 for women</w:t>
      </w:r>
      <w:r w:rsidR="00F90AF9" w:rsidRPr="00D712D0">
        <w:rPr>
          <w:rFonts w:ascii="Times New Roman" w:hAnsi="Times New Roman" w:cs="Times New Roman"/>
          <w:sz w:val="24"/>
          <w:szCs w:val="24"/>
          <w:lang w:val="hy-AM"/>
        </w:rPr>
        <w:t>, at this age an one could aply to recie</w:t>
      </w:r>
      <w:r w:rsidR="00230F6C" w:rsidRPr="00D712D0">
        <w:rPr>
          <w:rFonts w:ascii="Times New Roman" w:hAnsi="Times New Roman" w:cs="Times New Roman"/>
          <w:sz w:val="24"/>
          <w:szCs w:val="24"/>
          <w:lang w:val="hy-AM"/>
        </w:rPr>
        <w:t>ve a social pension</w:t>
      </w:r>
      <w:r w:rsidR="005B7BFF" w:rsidRPr="00D712D0">
        <w:rPr>
          <w:rFonts w:ascii="Times New Roman" w:hAnsi="Times New Roman" w:cs="Times New Roman"/>
          <w:sz w:val="24"/>
          <w:szCs w:val="24"/>
          <w:lang w:val="hy-AM"/>
        </w:rPr>
        <w:t>.</w:t>
      </w:r>
      <w:r w:rsidR="00230F6C" w:rsidRPr="00D712D0">
        <w:rPr>
          <w:rFonts w:ascii="Times New Roman" w:hAnsi="Times New Roman" w:cs="Times New Roman"/>
          <w:sz w:val="24"/>
          <w:szCs w:val="24"/>
          <w:lang w:val="hy-AM"/>
        </w:rPr>
        <w:t xml:space="preserve"> Such pensions are targeting the informal sector workers and the p</w:t>
      </w:r>
      <w:r w:rsidR="00753850" w:rsidRPr="00D712D0">
        <w:rPr>
          <w:rFonts w:ascii="Times New Roman" w:hAnsi="Times New Roman" w:cs="Times New Roman"/>
          <w:sz w:val="24"/>
          <w:szCs w:val="24"/>
          <w:lang w:val="hy-AM"/>
        </w:rPr>
        <w:t>opulation of rural areas of RA. The latter is targeted because of beeing left out of the security pension system, which requires several years of working experience in the formal sector.</w:t>
      </w:r>
      <w:r w:rsidR="003F22FF" w:rsidRPr="00D712D0">
        <w:rPr>
          <w:rFonts w:ascii="Times New Roman" w:hAnsi="Times New Roman" w:cs="Times New Roman"/>
          <w:sz w:val="24"/>
          <w:szCs w:val="24"/>
          <w:lang w:val="hy-AM"/>
        </w:rPr>
        <w:t xml:space="preserve"> It is common knowledge that rural population is self employed in agriculture</w:t>
      </w:r>
      <w:r w:rsidR="00690F35" w:rsidRPr="00D712D0">
        <w:rPr>
          <w:rFonts w:ascii="Times New Roman" w:hAnsi="Times New Roman" w:cs="Times New Roman"/>
          <w:sz w:val="24"/>
          <w:szCs w:val="24"/>
          <w:lang w:val="hy-AM"/>
        </w:rPr>
        <w:t>, thus making experience tracking impossible.</w:t>
      </w:r>
      <w:r w:rsidR="00D812CD" w:rsidRPr="00D712D0">
        <w:rPr>
          <w:rFonts w:ascii="Times New Roman" w:hAnsi="Times New Roman" w:cs="Times New Roman"/>
          <w:sz w:val="24"/>
          <w:szCs w:val="24"/>
          <w:lang w:val="hy-AM"/>
        </w:rPr>
        <w:t xml:space="preserve"> Despite lower pension levels, rural population is generally less vurnelable to the elderly poverty risks, due to stronger familism in rural comunities.</w:t>
      </w:r>
    </w:p>
    <w:p w:rsidR="00EC59CB" w:rsidRPr="00D712D0" w:rsidRDefault="00A97413" w:rsidP="00753850">
      <w:pPr>
        <w:spacing w:after="0" w:line="240" w:lineRule="auto"/>
        <w:ind w:firstLine="708"/>
        <w:jc w:val="both"/>
        <w:rPr>
          <w:rFonts w:ascii="Times New Roman" w:hAnsi="Times New Roman" w:cs="Times New Roman"/>
          <w:sz w:val="24"/>
          <w:szCs w:val="24"/>
          <w:lang w:val="en-US"/>
        </w:rPr>
      </w:pPr>
      <w:r w:rsidRPr="00D712D0">
        <w:rPr>
          <w:rFonts w:ascii="Times New Roman" w:hAnsi="Times New Roman" w:cs="Times New Roman"/>
          <w:sz w:val="24"/>
          <w:szCs w:val="24"/>
          <w:lang w:val="hy-AM"/>
        </w:rPr>
        <w:t xml:space="preserve">The ratio of social pensions to the average security pensions will not </w:t>
      </w:r>
      <w:r w:rsidRPr="00D712D0">
        <w:rPr>
          <w:rFonts w:ascii="Times New Roman" w:hAnsi="Times New Roman" w:cs="Times New Roman"/>
          <w:sz w:val="24"/>
          <w:szCs w:val="24"/>
          <w:lang w:val="en-US"/>
        </w:rPr>
        <w:t>break</w:t>
      </w:r>
      <w:r w:rsidRPr="00D712D0">
        <w:rPr>
          <w:rFonts w:ascii="Times New Roman" w:hAnsi="Times New Roman" w:cs="Times New Roman"/>
          <w:sz w:val="24"/>
          <w:szCs w:val="24"/>
          <w:lang w:val="hy-AM"/>
        </w:rPr>
        <w:t xml:space="preserve"> the 50% </w:t>
      </w:r>
      <w:r w:rsidR="00AD65F7" w:rsidRPr="00D712D0">
        <w:rPr>
          <w:rFonts w:ascii="Times New Roman" w:hAnsi="Times New Roman" w:cs="Times New Roman"/>
          <w:sz w:val="24"/>
          <w:szCs w:val="24"/>
          <w:lang w:val="en-US"/>
        </w:rPr>
        <w:t xml:space="preserve">line. The social pensions are designed as an anti-poverty </w:t>
      </w:r>
      <w:r w:rsidR="001C41E5" w:rsidRPr="00D712D0">
        <w:rPr>
          <w:rFonts w:ascii="Times New Roman" w:hAnsi="Times New Roman" w:cs="Times New Roman"/>
          <w:sz w:val="24"/>
          <w:szCs w:val="24"/>
          <w:lang w:val="en-US"/>
        </w:rPr>
        <w:t>tool;</w:t>
      </w:r>
      <w:r w:rsidR="00AD65F7" w:rsidRPr="00D712D0">
        <w:rPr>
          <w:rFonts w:ascii="Times New Roman" w:hAnsi="Times New Roman" w:cs="Times New Roman"/>
          <w:sz w:val="24"/>
          <w:szCs w:val="24"/>
          <w:lang w:val="en-US"/>
        </w:rPr>
        <w:t xml:space="preserve"> however their efficiency is questionable, as they are not able to cover any of the three poverty tiers, as well as the MCB. </w:t>
      </w:r>
      <w:r w:rsidR="001C41E5" w:rsidRPr="00D712D0">
        <w:rPr>
          <w:rFonts w:ascii="Times New Roman" w:hAnsi="Times New Roman" w:cs="Times New Roman"/>
          <w:sz w:val="24"/>
          <w:szCs w:val="24"/>
          <w:lang w:val="en-US"/>
        </w:rPr>
        <w:t xml:space="preserve">This issue is projected to be partially solved by gradually increasing the amounts payable, and reaching the extreme poverty tier by 2016 and overbidding </w:t>
      </w:r>
      <w:r w:rsidR="00444EA0" w:rsidRPr="00D712D0">
        <w:rPr>
          <w:rFonts w:ascii="Times New Roman" w:hAnsi="Times New Roman" w:cs="Times New Roman"/>
          <w:sz w:val="24"/>
          <w:szCs w:val="24"/>
          <w:lang w:val="en-US"/>
        </w:rPr>
        <w:t>the lower poverty tier by 2021. Despite those changes the MCB level will not be breached even by</w:t>
      </w:r>
      <w:r w:rsidR="00D27B82" w:rsidRPr="00D712D0">
        <w:rPr>
          <w:rFonts w:ascii="Times New Roman" w:hAnsi="Times New Roman" w:cs="Times New Roman"/>
          <w:sz w:val="24"/>
          <w:szCs w:val="24"/>
          <w:lang w:val="en-US"/>
        </w:rPr>
        <w:t xml:space="preserve"> year </w:t>
      </w:r>
      <w:r w:rsidR="00444EA0" w:rsidRPr="00D712D0">
        <w:rPr>
          <w:rFonts w:ascii="Times New Roman" w:hAnsi="Times New Roman" w:cs="Times New Roman"/>
          <w:sz w:val="24"/>
          <w:szCs w:val="24"/>
          <w:lang w:val="en-US"/>
        </w:rPr>
        <w:t>2025</w:t>
      </w:r>
      <w:r w:rsidR="00E938CE" w:rsidRPr="00D712D0">
        <w:rPr>
          <w:rFonts w:ascii="Times New Roman" w:hAnsi="Times New Roman" w:cs="Times New Roman"/>
          <w:sz w:val="24"/>
          <w:szCs w:val="24"/>
          <w:lang w:val="en-US"/>
        </w:rPr>
        <w:t xml:space="preserve">. </w:t>
      </w:r>
    </w:p>
    <w:p w:rsidR="00E938CE" w:rsidRPr="00D712D0" w:rsidRDefault="00E938CE" w:rsidP="00E938CE">
      <w:pPr>
        <w:spacing w:after="0" w:line="360" w:lineRule="auto"/>
        <w:ind w:firstLine="709"/>
        <w:jc w:val="both"/>
        <w:rPr>
          <w:rFonts w:ascii="Times New Roman" w:hAnsi="Times New Roman" w:cs="Times New Roman"/>
          <w:sz w:val="24"/>
          <w:szCs w:val="24"/>
          <w:lang w:val="en-US"/>
        </w:rPr>
      </w:pPr>
      <w:r w:rsidRPr="00D712D0">
        <w:rPr>
          <w:rFonts w:ascii="Times New Roman" w:hAnsi="Times New Roman" w:cs="Times New Roman"/>
          <w:sz w:val="24"/>
          <w:szCs w:val="24"/>
          <w:lang w:val="en-US"/>
        </w:rPr>
        <w:t xml:space="preserve">The current pension system will actually cause increase in budget deficit, however </w:t>
      </w:r>
      <w:r w:rsidR="003479A8" w:rsidRPr="00D712D0">
        <w:rPr>
          <w:rFonts w:ascii="Times New Roman" w:hAnsi="Times New Roman" w:cs="Times New Roman"/>
          <w:sz w:val="24"/>
          <w:szCs w:val="24"/>
          <w:lang w:val="en-US"/>
        </w:rPr>
        <w:t xml:space="preserve">in the end </w:t>
      </w:r>
      <w:r w:rsidR="002463D1" w:rsidRPr="00D712D0">
        <w:rPr>
          <w:rFonts w:ascii="Times New Roman" w:hAnsi="Times New Roman" w:cs="Times New Roman"/>
          <w:sz w:val="24"/>
          <w:szCs w:val="24"/>
          <w:lang w:val="en-US"/>
        </w:rPr>
        <w:t>the</w:t>
      </w:r>
      <w:r w:rsidR="003479A8" w:rsidRPr="00D712D0">
        <w:rPr>
          <w:rFonts w:ascii="Times New Roman" w:hAnsi="Times New Roman" w:cs="Times New Roman"/>
          <w:sz w:val="24"/>
          <w:szCs w:val="24"/>
          <w:lang w:val="en-US"/>
        </w:rPr>
        <w:t xml:space="preserve"> deficit may be a fair</w:t>
      </w:r>
      <w:r w:rsidR="005F0CE6" w:rsidRPr="00D712D0">
        <w:rPr>
          <w:rFonts w:ascii="Times New Roman" w:hAnsi="Times New Roman" w:cs="Times New Roman"/>
          <w:sz w:val="24"/>
          <w:szCs w:val="24"/>
          <w:lang w:val="en-US"/>
        </w:rPr>
        <w:t xml:space="preserve"> price for the increase in income of the elderly population, who did earn the right to receive </w:t>
      </w:r>
      <w:r w:rsidR="008D1853" w:rsidRPr="00D712D0">
        <w:rPr>
          <w:rFonts w:ascii="Times New Roman" w:hAnsi="Times New Roman" w:cs="Times New Roman"/>
          <w:sz w:val="24"/>
          <w:szCs w:val="24"/>
          <w:lang w:val="en-US"/>
        </w:rPr>
        <w:t>sufficient government support, by living and working on the territory of RA.</w:t>
      </w:r>
    </w:p>
    <w:p w:rsidR="00E938CE" w:rsidRPr="00D712D0" w:rsidRDefault="00371BD5" w:rsidP="00753850">
      <w:pPr>
        <w:spacing w:after="0" w:line="240" w:lineRule="auto"/>
        <w:ind w:firstLine="708"/>
        <w:jc w:val="both"/>
        <w:rPr>
          <w:rFonts w:ascii="Times New Roman" w:hAnsi="Times New Roman" w:cs="Times New Roman"/>
          <w:b/>
          <w:sz w:val="24"/>
          <w:szCs w:val="24"/>
          <w:lang w:val="hy-AM"/>
        </w:rPr>
      </w:pPr>
      <w:r w:rsidRPr="00D712D0">
        <w:rPr>
          <w:rFonts w:ascii="Times New Roman" w:hAnsi="Times New Roman" w:cs="Times New Roman"/>
          <w:b/>
          <w:sz w:val="24"/>
          <w:szCs w:val="24"/>
          <w:lang w:val="hy-AM"/>
        </w:rPr>
        <w:t xml:space="preserve"> </w:t>
      </w:r>
      <w:r w:rsidR="006E6F38" w:rsidRPr="00D712D0">
        <w:rPr>
          <w:rFonts w:ascii="Times New Roman" w:hAnsi="Times New Roman" w:cs="Times New Roman"/>
          <w:b/>
          <w:sz w:val="24"/>
          <w:szCs w:val="24"/>
          <w:lang w:val="hy-AM"/>
        </w:rPr>
        <w:t>«The new system»</w:t>
      </w:r>
    </w:p>
    <w:p w:rsidR="003D0B29" w:rsidRDefault="006E6F38" w:rsidP="003D0B29">
      <w:pPr>
        <w:spacing w:after="0" w:line="240" w:lineRule="auto"/>
        <w:ind w:firstLine="708"/>
        <w:jc w:val="both"/>
        <w:rPr>
          <w:rFonts w:ascii="Times New Roman" w:hAnsi="Times New Roman" w:cs="Times New Roman"/>
          <w:sz w:val="24"/>
          <w:szCs w:val="24"/>
          <w:lang w:val="en-US"/>
        </w:rPr>
      </w:pPr>
      <w:r w:rsidRPr="00D712D0">
        <w:rPr>
          <w:rFonts w:ascii="Times New Roman" w:hAnsi="Times New Roman" w:cs="Times New Roman"/>
          <w:sz w:val="24"/>
          <w:szCs w:val="24"/>
          <w:lang w:val="hy-AM"/>
        </w:rPr>
        <w:t xml:space="preserve">As we have already stated above, the new system will start operating in year 2014; individuals born after 1974 will be automaticly included. The new system is expected planning to increase national savings level and create </w:t>
      </w:r>
      <w:r w:rsidR="003D0B29" w:rsidRPr="00D712D0">
        <w:rPr>
          <w:rFonts w:ascii="Times New Roman" w:hAnsi="Times New Roman" w:cs="Times New Roman"/>
          <w:sz w:val="24"/>
          <w:szCs w:val="24"/>
          <w:lang w:val="hy-AM"/>
        </w:rPr>
        <w:t xml:space="preserve">long term investmenst. Initial participance level is estimated at 170,000 initial participants who will </w:t>
      </w:r>
      <w:r w:rsidR="002464C3" w:rsidRPr="00D712D0">
        <w:rPr>
          <w:rFonts w:ascii="Times New Roman" w:hAnsi="Times New Roman" w:cs="Times New Roman"/>
          <w:sz w:val="24"/>
          <w:szCs w:val="24"/>
          <w:lang w:val="hy-AM"/>
        </w:rPr>
        <w:t>be investing 5% of their income. The participance level is projected to increase by 50,000 participants a year, and reach 600,000 participants till year 2025.</w:t>
      </w:r>
    </w:p>
    <w:p w:rsidR="004830C4" w:rsidRPr="004830C4" w:rsidRDefault="004830C4" w:rsidP="003D0B29">
      <w:pPr>
        <w:spacing w:after="0" w:line="240" w:lineRule="auto"/>
        <w:ind w:firstLine="708"/>
        <w:jc w:val="both"/>
        <w:rPr>
          <w:rFonts w:ascii="Times New Roman" w:hAnsi="Times New Roman" w:cs="Times New Roman"/>
          <w:sz w:val="24"/>
          <w:szCs w:val="24"/>
          <w:lang w:val="en-US"/>
        </w:rPr>
      </w:pPr>
    </w:p>
    <w:tbl>
      <w:tblPr>
        <w:tblStyle w:val="a8"/>
        <w:tblW w:w="0" w:type="auto"/>
        <w:tblLook w:val="04A0" w:firstRow="1" w:lastRow="0" w:firstColumn="1" w:lastColumn="0" w:noHBand="0" w:noVBand="1"/>
      </w:tblPr>
      <w:tblGrid>
        <w:gridCol w:w="4926"/>
        <w:gridCol w:w="4729"/>
      </w:tblGrid>
      <w:tr w:rsidR="00146DC2" w:rsidRPr="00D712D0" w:rsidTr="00146DC2">
        <w:trPr>
          <w:trHeight w:val="516"/>
        </w:trPr>
        <w:tc>
          <w:tcPr>
            <w:tcW w:w="4715" w:type="dxa"/>
          </w:tcPr>
          <w:p w:rsidR="00146DC2" w:rsidRPr="000D6C1C" w:rsidRDefault="004830C4" w:rsidP="004830C4">
            <w:pPr>
              <w:jc w:val="both"/>
              <w:rPr>
                <w:rFonts w:ascii="Times New Roman" w:hAnsi="Times New Roman" w:cs="Times New Roman"/>
                <w:sz w:val="24"/>
                <w:szCs w:val="24"/>
                <w:lang w:val="en-US"/>
              </w:rPr>
            </w:pPr>
            <w:r>
              <w:rPr>
                <w:rFonts w:ascii="Times New Roman" w:hAnsi="Times New Roman" w:cs="Times New Roman"/>
                <w:bCs/>
                <w:sz w:val="24"/>
                <w:szCs w:val="24"/>
                <w:lang w:val="en-US"/>
              </w:rPr>
              <w:t>Graph 3</w:t>
            </w:r>
            <w:r w:rsidR="00146DC2" w:rsidRPr="000D6C1C">
              <w:rPr>
                <w:rFonts w:ascii="Times New Roman" w:hAnsi="Times New Roman" w:cs="Times New Roman"/>
                <w:bCs/>
                <w:sz w:val="24"/>
                <w:szCs w:val="24"/>
                <w:lang w:val="en-US"/>
              </w:rPr>
              <w:t>.</w:t>
            </w:r>
            <w:r w:rsidR="00146DC2" w:rsidRPr="000D6C1C">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Government inputs into the pension system</w:t>
            </w:r>
            <w:r w:rsidR="00146DC2" w:rsidRPr="000D6C1C">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bln AMD</w:t>
            </w:r>
            <w:r w:rsidR="00146DC2" w:rsidRPr="000D6C1C">
              <w:rPr>
                <w:rFonts w:ascii="Times New Roman" w:hAnsi="Times New Roman" w:cs="Times New Roman"/>
                <w:b/>
                <w:bCs/>
                <w:sz w:val="24"/>
                <w:szCs w:val="24"/>
                <w:lang w:val="en-US"/>
              </w:rPr>
              <w:t>).</w:t>
            </w:r>
          </w:p>
        </w:tc>
        <w:tc>
          <w:tcPr>
            <w:tcW w:w="4527" w:type="dxa"/>
          </w:tcPr>
          <w:p w:rsidR="00146DC2" w:rsidRPr="00D712D0" w:rsidRDefault="00146DC2" w:rsidP="004830C4">
            <w:pPr>
              <w:jc w:val="both"/>
              <w:rPr>
                <w:rFonts w:ascii="Times New Roman" w:hAnsi="Times New Roman" w:cs="Times New Roman"/>
                <w:sz w:val="24"/>
                <w:szCs w:val="24"/>
                <w:lang w:val="ru-RU"/>
              </w:rPr>
            </w:pPr>
            <w:r w:rsidRPr="00D712D0">
              <w:rPr>
                <w:rFonts w:ascii="Times New Roman" w:hAnsi="Times New Roman" w:cs="Times New Roman"/>
                <w:bCs/>
                <w:sz w:val="24"/>
                <w:szCs w:val="24"/>
                <w:lang w:val="ru-RU"/>
              </w:rPr>
              <w:t>Рис</w:t>
            </w:r>
            <w:r w:rsidRPr="000D6C1C">
              <w:rPr>
                <w:rFonts w:ascii="Times New Roman" w:hAnsi="Times New Roman" w:cs="Times New Roman"/>
                <w:bCs/>
                <w:sz w:val="24"/>
                <w:szCs w:val="24"/>
                <w:lang w:val="en-US"/>
              </w:rPr>
              <w:t>. 4.</w:t>
            </w:r>
            <w:r w:rsidRPr="000D6C1C">
              <w:rPr>
                <w:rFonts w:ascii="Times New Roman" w:hAnsi="Times New Roman" w:cs="Times New Roman"/>
                <w:b/>
                <w:bCs/>
                <w:sz w:val="24"/>
                <w:szCs w:val="24"/>
                <w:lang w:val="en-US"/>
              </w:rPr>
              <w:t xml:space="preserve"> </w:t>
            </w:r>
            <w:r w:rsidR="004830C4">
              <w:rPr>
                <w:rFonts w:ascii="Times New Roman" w:hAnsi="Times New Roman" w:cs="Times New Roman"/>
                <w:b/>
                <w:bCs/>
                <w:sz w:val="24"/>
                <w:szCs w:val="24"/>
                <w:lang w:val="en-US"/>
              </w:rPr>
              <w:t>Total government pension spending</w:t>
            </w:r>
            <w:r w:rsidRPr="000D6C1C">
              <w:rPr>
                <w:rFonts w:ascii="Times New Roman" w:hAnsi="Times New Roman" w:cs="Times New Roman"/>
                <w:b/>
                <w:bCs/>
                <w:sz w:val="24"/>
                <w:szCs w:val="24"/>
                <w:lang w:val="en-US"/>
              </w:rPr>
              <w:t xml:space="preserve"> (</w:t>
            </w:r>
            <w:r w:rsidR="004830C4">
              <w:rPr>
                <w:rFonts w:ascii="Times New Roman" w:hAnsi="Times New Roman" w:cs="Times New Roman"/>
                <w:b/>
                <w:bCs/>
                <w:sz w:val="24"/>
                <w:szCs w:val="24"/>
                <w:lang w:val="en-US"/>
              </w:rPr>
              <w:t>public sector</w:t>
            </w:r>
            <w:r w:rsidRPr="000D6C1C">
              <w:rPr>
                <w:rFonts w:ascii="Times New Roman" w:hAnsi="Times New Roman" w:cs="Times New Roman"/>
                <w:b/>
                <w:bCs/>
                <w:sz w:val="24"/>
                <w:szCs w:val="24"/>
                <w:lang w:val="en-US"/>
              </w:rPr>
              <w:t xml:space="preserve">, </w:t>
            </w:r>
            <w:r w:rsidR="004830C4">
              <w:rPr>
                <w:rFonts w:ascii="Times New Roman" w:hAnsi="Times New Roman" w:cs="Times New Roman"/>
                <w:b/>
                <w:bCs/>
                <w:sz w:val="24"/>
                <w:szCs w:val="24"/>
                <w:lang w:val="en-US"/>
              </w:rPr>
              <w:t>bln. AMD</w:t>
            </w:r>
            <w:r w:rsidRPr="00D712D0">
              <w:rPr>
                <w:rFonts w:ascii="Times New Roman" w:hAnsi="Times New Roman" w:cs="Times New Roman"/>
                <w:b/>
                <w:bCs/>
                <w:sz w:val="24"/>
                <w:szCs w:val="24"/>
                <w:lang w:val="ru-RU"/>
              </w:rPr>
              <w:t xml:space="preserve">). </w:t>
            </w:r>
          </w:p>
        </w:tc>
      </w:tr>
      <w:tr w:rsidR="00146DC2" w:rsidRPr="00D712D0" w:rsidTr="00146DC2">
        <w:tc>
          <w:tcPr>
            <w:tcW w:w="4715" w:type="dxa"/>
          </w:tcPr>
          <w:p w:rsidR="00146DC2" w:rsidRPr="00D712D0" w:rsidRDefault="00146DC2" w:rsidP="00F6240A">
            <w:pPr>
              <w:spacing w:line="360" w:lineRule="auto"/>
              <w:jc w:val="both"/>
              <w:rPr>
                <w:rFonts w:ascii="Times New Roman" w:hAnsi="Times New Roman" w:cs="Times New Roman"/>
                <w:sz w:val="24"/>
                <w:szCs w:val="24"/>
              </w:rPr>
            </w:pPr>
            <w:r w:rsidRPr="00D712D0">
              <w:rPr>
                <w:rFonts w:ascii="Times New Roman" w:hAnsi="Times New Roman" w:cs="Times New Roman"/>
                <w:noProof/>
                <w:sz w:val="24"/>
                <w:szCs w:val="24"/>
                <w:lang w:val="ru-RU" w:eastAsia="ru-RU"/>
              </w:rPr>
              <w:drawing>
                <wp:inline distT="0" distB="0" distL="0" distR="0">
                  <wp:extent cx="2944926" cy="2501799"/>
                  <wp:effectExtent l="19050" t="0" r="26874"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527" w:type="dxa"/>
          </w:tcPr>
          <w:p w:rsidR="00146DC2" w:rsidRPr="00D712D0" w:rsidRDefault="00146DC2" w:rsidP="00F6240A">
            <w:pPr>
              <w:spacing w:line="360" w:lineRule="auto"/>
              <w:ind w:left="-137"/>
              <w:jc w:val="both"/>
              <w:rPr>
                <w:rFonts w:ascii="Times New Roman" w:hAnsi="Times New Roman" w:cs="Times New Roman"/>
                <w:sz w:val="24"/>
                <w:szCs w:val="24"/>
              </w:rPr>
            </w:pPr>
            <w:r w:rsidRPr="00D712D0">
              <w:rPr>
                <w:rFonts w:ascii="Times New Roman" w:hAnsi="Times New Roman" w:cs="Times New Roman"/>
                <w:noProof/>
                <w:sz w:val="24"/>
                <w:szCs w:val="24"/>
                <w:lang w:val="ru-RU" w:eastAsia="ru-RU"/>
              </w:rPr>
              <w:drawing>
                <wp:inline distT="0" distB="0" distL="0" distR="0">
                  <wp:extent cx="2912796" cy="2501799"/>
                  <wp:effectExtent l="19050" t="0" r="20904" b="0"/>
                  <wp:docPr id="3" name="Рисунок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146DC2" w:rsidRPr="00D712D0" w:rsidTr="00146DC2">
        <w:tc>
          <w:tcPr>
            <w:tcW w:w="4715" w:type="dxa"/>
          </w:tcPr>
          <w:p w:rsidR="00146DC2" w:rsidRPr="00D712D0" w:rsidRDefault="004830C4" w:rsidP="00F6240A">
            <w:pPr>
              <w:rPr>
                <w:rFonts w:ascii="Times New Roman" w:eastAsia="Calibri" w:hAnsi="Times New Roman" w:cs="Times New Roman"/>
                <w:sz w:val="24"/>
                <w:szCs w:val="24"/>
                <w:lang w:val="hy-AM"/>
              </w:rPr>
            </w:pPr>
            <w:r>
              <w:rPr>
                <w:rFonts w:ascii="Times New Roman" w:eastAsia="Calibri" w:hAnsi="Times New Roman" w:cs="Times New Roman"/>
                <w:sz w:val="24"/>
                <w:szCs w:val="24"/>
              </w:rPr>
              <w:t>Source</w:t>
            </w:r>
            <w:r w:rsidR="00146DC2" w:rsidRPr="00D712D0">
              <w:rPr>
                <w:rFonts w:ascii="Times New Roman" w:eastAsia="Calibri" w:hAnsi="Times New Roman" w:cs="Times New Roman"/>
                <w:sz w:val="24"/>
                <w:szCs w:val="24"/>
              </w:rPr>
              <w:t>: ADS Draft Ministry of Finance of RA</w:t>
            </w:r>
            <w:r w:rsidR="00146DC2" w:rsidRPr="00D712D0">
              <w:rPr>
                <w:rFonts w:ascii="Times New Roman" w:eastAsia="Calibri" w:hAnsi="Times New Roman" w:cs="Times New Roman"/>
                <w:sz w:val="24"/>
                <w:szCs w:val="24"/>
                <w:lang w:val="hy-AM"/>
              </w:rPr>
              <w:t>, National Statistic Service of RA</w:t>
            </w:r>
          </w:p>
          <w:p w:rsidR="00146DC2" w:rsidRPr="00D712D0" w:rsidRDefault="00146DC2" w:rsidP="00F6240A">
            <w:pPr>
              <w:spacing w:line="360" w:lineRule="auto"/>
              <w:jc w:val="both"/>
              <w:rPr>
                <w:rFonts w:ascii="Times New Roman" w:hAnsi="Times New Roman" w:cs="Times New Roman"/>
                <w:sz w:val="24"/>
                <w:szCs w:val="24"/>
                <w:lang w:val="hy-AM"/>
              </w:rPr>
            </w:pPr>
          </w:p>
        </w:tc>
        <w:tc>
          <w:tcPr>
            <w:tcW w:w="4527" w:type="dxa"/>
          </w:tcPr>
          <w:p w:rsidR="00146DC2" w:rsidRPr="00D712D0" w:rsidRDefault="004830C4" w:rsidP="00F6240A">
            <w:pPr>
              <w:rPr>
                <w:rFonts w:ascii="Times New Roman" w:eastAsia="Calibri" w:hAnsi="Times New Roman" w:cs="Times New Roman"/>
                <w:sz w:val="24"/>
                <w:szCs w:val="24"/>
                <w:lang w:val="hy-AM"/>
              </w:rPr>
            </w:pPr>
            <w:r>
              <w:rPr>
                <w:rFonts w:ascii="Times New Roman" w:eastAsia="Calibri" w:hAnsi="Times New Roman" w:cs="Times New Roman"/>
                <w:sz w:val="24"/>
                <w:szCs w:val="24"/>
              </w:rPr>
              <w:t>Source</w:t>
            </w:r>
            <w:r w:rsidR="00146DC2" w:rsidRPr="00D712D0">
              <w:rPr>
                <w:rFonts w:ascii="Times New Roman" w:eastAsia="Calibri" w:hAnsi="Times New Roman" w:cs="Times New Roman"/>
                <w:sz w:val="24"/>
                <w:szCs w:val="24"/>
              </w:rPr>
              <w:t>: ADS Draft Ministry of Finance of RA</w:t>
            </w:r>
            <w:r w:rsidR="00146DC2" w:rsidRPr="00D712D0">
              <w:rPr>
                <w:rFonts w:ascii="Times New Roman" w:eastAsia="Calibri" w:hAnsi="Times New Roman" w:cs="Times New Roman"/>
                <w:sz w:val="24"/>
                <w:szCs w:val="24"/>
                <w:lang w:val="hy-AM"/>
              </w:rPr>
              <w:t>, National Statistic Service of RA</w:t>
            </w:r>
          </w:p>
          <w:p w:rsidR="00146DC2" w:rsidRPr="00D712D0" w:rsidRDefault="00146DC2" w:rsidP="00F6240A">
            <w:pPr>
              <w:spacing w:line="360" w:lineRule="auto"/>
              <w:jc w:val="both"/>
              <w:rPr>
                <w:rFonts w:ascii="Times New Roman" w:hAnsi="Times New Roman" w:cs="Times New Roman"/>
                <w:sz w:val="24"/>
                <w:szCs w:val="24"/>
                <w:lang w:val="hy-AM"/>
              </w:rPr>
            </w:pPr>
          </w:p>
        </w:tc>
      </w:tr>
    </w:tbl>
    <w:p w:rsidR="00146DC2" w:rsidRPr="00D712D0" w:rsidRDefault="00146DC2" w:rsidP="003D0B29">
      <w:pPr>
        <w:spacing w:after="0" w:line="240" w:lineRule="auto"/>
        <w:ind w:firstLine="708"/>
        <w:jc w:val="both"/>
        <w:rPr>
          <w:rFonts w:ascii="Times New Roman" w:hAnsi="Times New Roman" w:cs="Times New Roman"/>
          <w:sz w:val="24"/>
          <w:szCs w:val="24"/>
          <w:lang w:val="hy-AM"/>
        </w:rPr>
      </w:pPr>
      <w:r w:rsidRPr="00D712D0">
        <w:rPr>
          <w:rFonts w:ascii="Times New Roman" w:hAnsi="Times New Roman" w:cs="Times New Roman"/>
          <w:sz w:val="24"/>
          <w:szCs w:val="24"/>
          <w:lang w:val="hy-AM"/>
        </w:rPr>
        <w:lastRenderedPageBreak/>
        <w:t xml:space="preserve">Initially government expects to investment 18 mln AMD into pension system, as </w:t>
      </w:r>
      <w:r w:rsidR="009B4D07" w:rsidRPr="00D712D0">
        <w:rPr>
          <w:rFonts w:ascii="Times New Roman" w:hAnsi="Times New Roman" w:cs="Times New Roman"/>
          <w:sz w:val="24"/>
          <w:szCs w:val="24"/>
          <w:lang w:val="hy-AM"/>
        </w:rPr>
        <w:t>promised 5%</w:t>
      </w:r>
      <w:r w:rsidRPr="00D712D0">
        <w:rPr>
          <w:rFonts w:ascii="Times New Roman" w:hAnsi="Times New Roman" w:cs="Times New Roman"/>
          <w:sz w:val="24"/>
          <w:szCs w:val="24"/>
          <w:lang w:val="hy-AM"/>
        </w:rPr>
        <w:t>.</w:t>
      </w:r>
      <w:r w:rsidR="009B4D07" w:rsidRPr="00D712D0">
        <w:rPr>
          <w:rFonts w:ascii="Times New Roman" w:hAnsi="Times New Roman" w:cs="Times New Roman"/>
          <w:sz w:val="24"/>
          <w:szCs w:val="24"/>
          <w:lang w:val="hy-AM"/>
        </w:rPr>
        <w:t xml:space="preserve"> This amount is supposed to increase ten times till year 2025 (181 mln AMD).</w:t>
      </w:r>
      <w:r w:rsidR="00694816" w:rsidRPr="00D712D0">
        <w:rPr>
          <w:rFonts w:ascii="Times New Roman" w:hAnsi="Times New Roman" w:cs="Times New Roman"/>
          <w:sz w:val="24"/>
          <w:szCs w:val="24"/>
          <w:lang w:val="hy-AM"/>
        </w:rPr>
        <w:t xml:space="preserve"> </w:t>
      </w:r>
    </w:p>
    <w:p w:rsidR="001175AD" w:rsidRPr="00D712D0" w:rsidRDefault="00694816" w:rsidP="001175AD">
      <w:pPr>
        <w:spacing w:after="0" w:line="240" w:lineRule="auto"/>
        <w:ind w:firstLine="708"/>
        <w:jc w:val="both"/>
        <w:rPr>
          <w:rFonts w:ascii="Times New Roman" w:hAnsi="Times New Roman" w:cs="Times New Roman"/>
          <w:sz w:val="24"/>
          <w:szCs w:val="24"/>
          <w:lang w:val="hy-AM"/>
        </w:rPr>
      </w:pPr>
      <w:r w:rsidRPr="00D712D0">
        <w:rPr>
          <w:rFonts w:ascii="Times New Roman" w:hAnsi="Times New Roman" w:cs="Times New Roman"/>
          <w:sz w:val="24"/>
          <w:szCs w:val="24"/>
          <w:lang w:val="hy-AM"/>
        </w:rPr>
        <w:t>Although the level of government participance in the system seems significant, there may be some questions, related to the possible rise of CPI and average wages</w:t>
      </w:r>
      <w:r w:rsidR="0058515E" w:rsidRPr="00D712D0">
        <w:rPr>
          <w:rFonts w:ascii="Times New Roman" w:hAnsi="Times New Roman" w:cs="Times New Roman"/>
          <w:sz w:val="24"/>
          <w:szCs w:val="24"/>
          <w:lang w:val="hy-AM"/>
        </w:rPr>
        <w:t>, as there is a limit set to 25,000 AMD per individual pension saving account per month</w:t>
      </w:r>
      <w:r w:rsidR="0025386A" w:rsidRPr="00D712D0">
        <w:rPr>
          <w:rFonts w:ascii="Times New Roman" w:hAnsi="Times New Roman" w:cs="Times New Roman"/>
          <w:sz w:val="24"/>
          <w:szCs w:val="24"/>
          <w:lang w:val="hy-AM"/>
        </w:rPr>
        <w:t>. Will this ammount be overbid</w:t>
      </w:r>
      <w:r w:rsidR="001175AD" w:rsidRPr="00D712D0">
        <w:rPr>
          <w:rFonts w:ascii="Times New Roman" w:hAnsi="Times New Roman" w:cs="Times New Roman"/>
          <w:sz w:val="24"/>
          <w:szCs w:val="24"/>
          <w:lang w:val="hy-AM"/>
        </w:rPr>
        <w:t xml:space="preserve"> by increase in aveage and/or median wages</w:t>
      </w:r>
      <w:r w:rsidR="0025386A" w:rsidRPr="00D712D0">
        <w:rPr>
          <w:rFonts w:ascii="Times New Roman" w:hAnsi="Times New Roman" w:cs="Times New Roman"/>
          <w:sz w:val="24"/>
          <w:szCs w:val="24"/>
          <w:lang w:val="hy-AM"/>
        </w:rPr>
        <w:t>, and if so will the government raise the financial support limit?</w:t>
      </w:r>
      <w:r w:rsidRPr="00D712D0">
        <w:rPr>
          <w:rFonts w:ascii="Times New Roman" w:hAnsi="Times New Roman" w:cs="Times New Roman"/>
          <w:sz w:val="24"/>
          <w:szCs w:val="24"/>
          <w:lang w:val="hy-AM"/>
        </w:rPr>
        <w:t xml:space="preserve"> To answer such questions</w:t>
      </w:r>
      <w:r w:rsidR="001175AD" w:rsidRPr="00D712D0">
        <w:rPr>
          <w:rFonts w:ascii="Times New Roman" w:hAnsi="Times New Roman" w:cs="Times New Roman"/>
          <w:sz w:val="24"/>
          <w:szCs w:val="24"/>
          <w:lang w:val="hy-AM"/>
        </w:rPr>
        <w:t>, we should concentrate on yearly increase of average wage in RA. According to the latest forcasts</w:t>
      </w:r>
      <w:r w:rsidR="0010650C" w:rsidRPr="00D712D0">
        <w:rPr>
          <w:rFonts w:ascii="Times New Roman" w:hAnsi="Times New Roman" w:cs="Times New Roman"/>
          <w:sz w:val="24"/>
          <w:szCs w:val="24"/>
          <w:lang w:val="hy-AM"/>
        </w:rPr>
        <w:t>, if the average level of financial support per pension account will be 6000 AMD per monthin year 2014, and 24000</w:t>
      </w:r>
      <w:r w:rsidR="006F7749" w:rsidRPr="00D712D0">
        <w:rPr>
          <w:rFonts w:ascii="Times New Roman" w:hAnsi="Times New Roman" w:cs="Times New Roman"/>
          <w:sz w:val="24"/>
          <w:szCs w:val="24"/>
          <w:lang w:val="hy-AM"/>
        </w:rPr>
        <w:t xml:space="preserve"> AMD per month in year 2025. Thus we can state that according to the government of RA the financial support borderline is not supposed to be breached by increasing average wage levels at leas in mid-term.</w:t>
      </w:r>
      <w:r w:rsidR="00117321" w:rsidRPr="00D712D0">
        <w:rPr>
          <w:rFonts w:ascii="Times New Roman" w:hAnsi="Times New Roman" w:cs="Times New Roman"/>
          <w:sz w:val="24"/>
          <w:szCs w:val="24"/>
          <w:lang w:val="hy-AM"/>
        </w:rPr>
        <w:t xml:space="preserve"> Considering the fact that the risk of major shocks to the labor market is low enough, we may assume that the projections mentioned above are accurate.</w:t>
      </w:r>
      <w:r w:rsidR="006F7749" w:rsidRPr="00D712D0">
        <w:rPr>
          <w:rFonts w:ascii="Times New Roman" w:hAnsi="Times New Roman" w:cs="Times New Roman"/>
          <w:sz w:val="24"/>
          <w:szCs w:val="24"/>
          <w:lang w:val="hy-AM"/>
        </w:rPr>
        <w:t xml:space="preserve"> Unfortunately </w:t>
      </w:r>
      <w:r w:rsidR="00117321" w:rsidRPr="00D712D0">
        <w:rPr>
          <w:rFonts w:ascii="Times New Roman" w:hAnsi="Times New Roman" w:cs="Times New Roman"/>
          <w:sz w:val="24"/>
          <w:szCs w:val="24"/>
          <w:lang w:val="hy-AM"/>
        </w:rPr>
        <w:t>we don't have any data on long-term forecasts, making it impossible for us to access the risks of increasing wages and CPI in the long-run.</w:t>
      </w:r>
    </w:p>
    <w:p w:rsidR="00F6240A" w:rsidRPr="00D712D0" w:rsidRDefault="00F6240A" w:rsidP="001175AD">
      <w:pPr>
        <w:spacing w:after="0" w:line="240" w:lineRule="auto"/>
        <w:ind w:firstLine="708"/>
        <w:jc w:val="both"/>
        <w:rPr>
          <w:rFonts w:ascii="Times New Roman" w:hAnsi="Times New Roman" w:cs="Times New Roman"/>
          <w:sz w:val="24"/>
          <w:szCs w:val="24"/>
          <w:lang w:val="hy-AM"/>
        </w:rPr>
      </w:pPr>
      <w:r w:rsidRPr="00D712D0">
        <w:rPr>
          <w:rFonts w:ascii="Times New Roman" w:hAnsi="Times New Roman" w:cs="Times New Roman"/>
          <w:sz w:val="24"/>
          <w:szCs w:val="24"/>
          <w:lang w:val="hy-AM"/>
        </w:rPr>
        <w:t>Table 4</w:t>
      </w:r>
    </w:p>
    <w:tbl>
      <w:tblPr>
        <w:tblStyle w:val="TableNormal1"/>
        <w:tblW w:w="7061" w:type="dxa"/>
        <w:jc w:val="center"/>
        <w:tblInd w:w="0" w:type="dxa"/>
        <w:tblBorders>
          <w:top w:val="single" w:sz="8" w:space="0" w:color="4F81BD"/>
          <w:bottom w:val="single" w:sz="8" w:space="0" w:color="4F81BD"/>
        </w:tblBorders>
        <w:tblLook w:val="04A0" w:firstRow="1" w:lastRow="0" w:firstColumn="1" w:lastColumn="0" w:noHBand="0" w:noVBand="1"/>
      </w:tblPr>
      <w:tblGrid>
        <w:gridCol w:w="723"/>
        <w:gridCol w:w="2733"/>
        <w:gridCol w:w="1551"/>
        <w:gridCol w:w="2061"/>
      </w:tblGrid>
      <w:tr w:rsidR="00D76793" w:rsidRPr="00D712D0" w:rsidTr="00F6240A">
        <w:trPr>
          <w:trHeight w:val="588"/>
          <w:jc w:val="center"/>
        </w:trPr>
        <w:tc>
          <w:tcPr>
            <w:tcW w:w="716" w:type="dxa"/>
            <w:tcBorders>
              <w:top w:val="single" w:sz="8" w:space="0" w:color="4F81BD"/>
              <w:left w:val="nil"/>
              <w:bottom w:val="single" w:sz="8" w:space="0" w:color="4F81BD"/>
              <w:right w:val="nil"/>
            </w:tcBorders>
            <w:noWrap/>
            <w:hideMark/>
          </w:tcPr>
          <w:p w:rsidR="00D76793" w:rsidRPr="00D712D0" w:rsidRDefault="004830C4" w:rsidP="00F6240A">
            <w:pPr>
              <w:jc w:val="center"/>
              <w:rPr>
                <w:rFonts w:ascii="Times New Roman" w:hAnsi="Times New Roman"/>
                <w:b/>
                <w:sz w:val="24"/>
                <w:szCs w:val="24"/>
              </w:rPr>
            </w:pPr>
            <w:r>
              <w:rPr>
                <w:rFonts w:ascii="Times New Roman" w:hAnsi="Times New Roman"/>
                <w:b/>
                <w:sz w:val="24"/>
                <w:szCs w:val="24"/>
              </w:rPr>
              <w:t>Year</w:t>
            </w:r>
          </w:p>
        </w:tc>
        <w:tc>
          <w:tcPr>
            <w:tcW w:w="2733" w:type="dxa"/>
            <w:tcBorders>
              <w:top w:val="single" w:sz="8" w:space="0" w:color="4F81BD"/>
              <w:left w:val="nil"/>
              <w:bottom w:val="single" w:sz="8" w:space="0" w:color="4F81BD"/>
              <w:right w:val="nil"/>
            </w:tcBorders>
            <w:hideMark/>
          </w:tcPr>
          <w:p w:rsidR="00D76793" w:rsidRPr="00D712D0" w:rsidRDefault="004830C4" w:rsidP="00F6240A">
            <w:pPr>
              <w:jc w:val="center"/>
              <w:rPr>
                <w:rFonts w:ascii="Times New Roman" w:eastAsia="Times New Roman" w:hAnsi="Times New Roman"/>
                <w:b/>
                <w:bCs/>
                <w:sz w:val="24"/>
                <w:szCs w:val="24"/>
              </w:rPr>
            </w:pPr>
            <w:r>
              <w:rPr>
                <w:rFonts w:ascii="Times New Roman" w:eastAsia="Times New Roman" w:hAnsi="Times New Roman"/>
                <w:b/>
                <w:bCs/>
                <w:sz w:val="24"/>
                <w:szCs w:val="24"/>
              </w:rPr>
              <w:t>Average wage</w:t>
            </w:r>
          </w:p>
        </w:tc>
        <w:tc>
          <w:tcPr>
            <w:tcW w:w="1551" w:type="dxa"/>
            <w:tcBorders>
              <w:top w:val="single" w:sz="8" w:space="0" w:color="4F81BD"/>
              <w:left w:val="nil"/>
              <w:bottom w:val="single" w:sz="8" w:space="0" w:color="4F81BD"/>
              <w:right w:val="nil"/>
            </w:tcBorders>
            <w:hideMark/>
          </w:tcPr>
          <w:p w:rsidR="00D76793" w:rsidRPr="00D712D0" w:rsidRDefault="004830C4" w:rsidP="004830C4">
            <w:pPr>
              <w:jc w:val="center"/>
              <w:rPr>
                <w:rFonts w:ascii="Times New Roman" w:eastAsia="Times New Roman" w:hAnsi="Times New Roman"/>
                <w:b/>
                <w:bCs/>
                <w:sz w:val="24"/>
                <w:szCs w:val="24"/>
                <w:lang w:val="en-CA" w:eastAsia="en-CA"/>
              </w:rPr>
            </w:pPr>
            <w:r>
              <w:rPr>
                <w:rFonts w:ascii="Times New Roman" w:eastAsia="Times New Roman" w:hAnsi="Times New Roman"/>
                <w:b/>
                <w:bCs/>
                <w:sz w:val="24"/>
                <w:szCs w:val="24"/>
              </w:rPr>
              <w:t>Public inputs</w:t>
            </w:r>
          </w:p>
        </w:tc>
        <w:tc>
          <w:tcPr>
            <w:tcW w:w="2061" w:type="dxa"/>
            <w:tcBorders>
              <w:top w:val="single" w:sz="8" w:space="0" w:color="4F81BD"/>
              <w:left w:val="nil"/>
              <w:bottom w:val="single" w:sz="8" w:space="0" w:color="4F81BD"/>
              <w:right w:val="nil"/>
            </w:tcBorders>
            <w:hideMark/>
          </w:tcPr>
          <w:p w:rsidR="00D76793" w:rsidRPr="00D712D0" w:rsidRDefault="004830C4" w:rsidP="00F6240A">
            <w:pPr>
              <w:jc w:val="center"/>
              <w:rPr>
                <w:rFonts w:ascii="Times New Roman" w:eastAsia="Times New Roman" w:hAnsi="Times New Roman"/>
                <w:b/>
                <w:bCs/>
                <w:sz w:val="24"/>
                <w:szCs w:val="24"/>
                <w:lang w:val="en-CA" w:eastAsia="en-CA"/>
              </w:rPr>
            </w:pPr>
            <w:r>
              <w:rPr>
                <w:rFonts w:ascii="Times New Roman" w:eastAsia="Times New Roman" w:hAnsi="Times New Roman"/>
                <w:b/>
                <w:bCs/>
                <w:sz w:val="24"/>
                <w:szCs w:val="24"/>
              </w:rPr>
              <w:t>Private inputs</w:t>
            </w:r>
          </w:p>
        </w:tc>
      </w:tr>
      <w:tr w:rsidR="00D76793" w:rsidRPr="00D712D0" w:rsidTr="00F6240A">
        <w:trPr>
          <w:trHeight w:val="331"/>
          <w:jc w:val="center"/>
        </w:trPr>
        <w:tc>
          <w:tcPr>
            <w:tcW w:w="716" w:type="dxa"/>
            <w:tcBorders>
              <w:top w:val="nil"/>
              <w:left w:val="nil"/>
              <w:bottom w:val="nil"/>
              <w:right w:val="nil"/>
            </w:tcBorders>
            <w:shd w:val="clear" w:color="auto" w:fill="D3DFEE"/>
            <w:noWrap/>
            <w:hideMark/>
          </w:tcPr>
          <w:p w:rsidR="00D76793" w:rsidRPr="00D712D0" w:rsidRDefault="00D76793"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2012</w:t>
            </w:r>
          </w:p>
        </w:tc>
        <w:tc>
          <w:tcPr>
            <w:tcW w:w="2733" w:type="dxa"/>
            <w:tcBorders>
              <w:top w:val="nil"/>
              <w:left w:val="nil"/>
              <w:bottom w:val="nil"/>
              <w:right w:val="nil"/>
            </w:tcBorders>
            <w:shd w:val="clear" w:color="auto" w:fill="D3DFEE"/>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121,300</w:t>
            </w:r>
          </w:p>
        </w:tc>
        <w:tc>
          <w:tcPr>
            <w:tcW w:w="1551" w:type="dxa"/>
            <w:tcBorders>
              <w:top w:val="nil"/>
              <w:left w:val="nil"/>
              <w:bottom w:val="nil"/>
              <w:right w:val="nil"/>
            </w:tcBorders>
            <w:shd w:val="clear" w:color="auto" w:fill="D3DFEE"/>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6,065</w:t>
            </w:r>
          </w:p>
        </w:tc>
        <w:tc>
          <w:tcPr>
            <w:tcW w:w="2061" w:type="dxa"/>
            <w:tcBorders>
              <w:top w:val="nil"/>
              <w:left w:val="nil"/>
              <w:bottom w:val="nil"/>
              <w:right w:val="nil"/>
            </w:tcBorders>
            <w:shd w:val="clear" w:color="auto" w:fill="D3DFEE"/>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6,065</w:t>
            </w:r>
          </w:p>
        </w:tc>
      </w:tr>
      <w:tr w:rsidR="00D76793" w:rsidRPr="00D712D0" w:rsidTr="00F6240A">
        <w:trPr>
          <w:trHeight w:val="331"/>
          <w:jc w:val="center"/>
        </w:trPr>
        <w:tc>
          <w:tcPr>
            <w:tcW w:w="716" w:type="dxa"/>
            <w:tcBorders>
              <w:top w:val="nil"/>
              <w:left w:val="nil"/>
              <w:bottom w:val="nil"/>
              <w:right w:val="nil"/>
            </w:tcBorders>
            <w:noWrap/>
            <w:hideMark/>
          </w:tcPr>
          <w:p w:rsidR="00D76793" w:rsidRPr="00D712D0" w:rsidRDefault="00D76793"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2013</w:t>
            </w:r>
          </w:p>
        </w:tc>
        <w:tc>
          <w:tcPr>
            <w:tcW w:w="2733" w:type="dxa"/>
            <w:tcBorders>
              <w:top w:val="nil"/>
              <w:left w:val="nil"/>
              <w:bottom w:val="nil"/>
              <w:right w:val="nil"/>
            </w:tcBorders>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153,400</w:t>
            </w:r>
          </w:p>
        </w:tc>
        <w:tc>
          <w:tcPr>
            <w:tcW w:w="1551" w:type="dxa"/>
            <w:tcBorders>
              <w:top w:val="nil"/>
              <w:left w:val="nil"/>
              <w:bottom w:val="nil"/>
              <w:right w:val="nil"/>
            </w:tcBorders>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7,670</w:t>
            </w:r>
          </w:p>
        </w:tc>
        <w:tc>
          <w:tcPr>
            <w:tcW w:w="2061" w:type="dxa"/>
            <w:tcBorders>
              <w:top w:val="nil"/>
              <w:left w:val="nil"/>
              <w:bottom w:val="nil"/>
              <w:right w:val="nil"/>
            </w:tcBorders>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7,670</w:t>
            </w:r>
          </w:p>
        </w:tc>
      </w:tr>
      <w:tr w:rsidR="00D76793" w:rsidRPr="00D712D0" w:rsidTr="00F6240A">
        <w:trPr>
          <w:trHeight w:val="347"/>
          <w:jc w:val="center"/>
        </w:trPr>
        <w:tc>
          <w:tcPr>
            <w:tcW w:w="716" w:type="dxa"/>
            <w:tcBorders>
              <w:top w:val="nil"/>
              <w:left w:val="nil"/>
              <w:bottom w:val="nil"/>
              <w:right w:val="nil"/>
            </w:tcBorders>
            <w:shd w:val="clear" w:color="auto" w:fill="D3DFEE"/>
            <w:noWrap/>
            <w:hideMark/>
          </w:tcPr>
          <w:p w:rsidR="00D76793" w:rsidRPr="00D712D0" w:rsidRDefault="00D76793"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2014</w:t>
            </w:r>
          </w:p>
        </w:tc>
        <w:tc>
          <w:tcPr>
            <w:tcW w:w="2733" w:type="dxa"/>
            <w:tcBorders>
              <w:top w:val="nil"/>
              <w:left w:val="nil"/>
              <w:bottom w:val="nil"/>
              <w:right w:val="nil"/>
            </w:tcBorders>
            <w:shd w:val="clear" w:color="auto" w:fill="D3DFEE"/>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169,800</w:t>
            </w:r>
          </w:p>
        </w:tc>
        <w:tc>
          <w:tcPr>
            <w:tcW w:w="1551" w:type="dxa"/>
            <w:tcBorders>
              <w:top w:val="nil"/>
              <w:left w:val="nil"/>
              <w:bottom w:val="nil"/>
              <w:right w:val="nil"/>
            </w:tcBorders>
            <w:shd w:val="clear" w:color="auto" w:fill="D3DFEE"/>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8,490</w:t>
            </w:r>
          </w:p>
        </w:tc>
        <w:tc>
          <w:tcPr>
            <w:tcW w:w="2061" w:type="dxa"/>
            <w:tcBorders>
              <w:top w:val="nil"/>
              <w:left w:val="nil"/>
              <w:bottom w:val="nil"/>
              <w:right w:val="nil"/>
            </w:tcBorders>
            <w:shd w:val="clear" w:color="auto" w:fill="D3DFEE"/>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8,490</w:t>
            </w:r>
          </w:p>
        </w:tc>
      </w:tr>
      <w:tr w:rsidR="00D76793" w:rsidRPr="00D712D0" w:rsidTr="00F6240A">
        <w:trPr>
          <w:trHeight w:val="316"/>
          <w:jc w:val="center"/>
        </w:trPr>
        <w:tc>
          <w:tcPr>
            <w:tcW w:w="716" w:type="dxa"/>
            <w:tcBorders>
              <w:top w:val="nil"/>
              <w:left w:val="nil"/>
              <w:bottom w:val="nil"/>
              <w:right w:val="nil"/>
            </w:tcBorders>
            <w:noWrap/>
            <w:hideMark/>
          </w:tcPr>
          <w:p w:rsidR="00D76793" w:rsidRPr="00D712D0" w:rsidRDefault="00D76793"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2015</w:t>
            </w:r>
          </w:p>
        </w:tc>
        <w:tc>
          <w:tcPr>
            <w:tcW w:w="2733" w:type="dxa"/>
            <w:tcBorders>
              <w:top w:val="nil"/>
              <w:left w:val="nil"/>
              <w:bottom w:val="nil"/>
              <w:right w:val="nil"/>
            </w:tcBorders>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188,800</w:t>
            </w:r>
          </w:p>
        </w:tc>
        <w:tc>
          <w:tcPr>
            <w:tcW w:w="1551" w:type="dxa"/>
            <w:tcBorders>
              <w:top w:val="nil"/>
              <w:left w:val="nil"/>
              <w:bottom w:val="nil"/>
              <w:right w:val="nil"/>
            </w:tcBorders>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9,440</w:t>
            </w:r>
          </w:p>
        </w:tc>
        <w:tc>
          <w:tcPr>
            <w:tcW w:w="2061" w:type="dxa"/>
            <w:tcBorders>
              <w:top w:val="nil"/>
              <w:left w:val="nil"/>
              <w:bottom w:val="nil"/>
              <w:right w:val="nil"/>
            </w:tcBorders>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9,440</w:t>
            </w:r>
          </w:p>
        </w:tc>
      </w:tr>
      <w:tr w:rsidR="00D76793" w:rsidRPr="00D712D0" w:rsidTr="00F6240A">
        <w:trPr>
          <w:trHeight w:val="316"/>
          <w:jc w:val="center"/>
        </w:trPr>
        <w:tc>
          <w:tcPr>
            <w:tcW w:w="716" w:type="dxa"/>
            <w:tcBorders>
              <w:top w:val="nil"/>
              <w:left w:val="nil"/>
              <w:bottom w:val="nil"/>
              <w:right w:val="nil"/>
            </w:tcBorders>
            <w:shd w:val="clear" w:color="auto" w:fill="D3DFEE"/>
            <w:noWrap/>
            <w:hideMark/>
          </w:tcPr>
          <w:p w:rsidR="00D76793" w:rsidRPr="00D712D0" w:rsidRDefault="00D76793"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2016</w:t>
            </w:r>
          </w:p>
        </w:tc>
        <w:tc>
          <w:tcPr>
            <w:tcW w:w="2733" w:type="dxa"/>
            <w:tcBorders>
              <w:top w:val="nil"/>
              <w:left w:val="nil"/>
              <w:bottom w:val="nil"/>
              <w:right w:val="nil"/>
            </w:tcBorders>
            <w:shd w:val="clear" w:color="auto" w:fill="D3DFEE"/>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209,300</w:t>
            </w:r>
          </w:p>
        </w:tc>
        <w:tc>
          <w:tcPr>
            <w:tcW w:w="1551" w:type="dxa"/>
            <w:tcBorders>
              <w:top w:val="nil"/>
              <w:left w:val="nil"/>
              <w:bottom w:val="nil"/>
              <w:right w:val="nil"/>
            </w:tcBorders>
            <w:shd w:val="clear" w:color="auto" w:fill="D3DFEE"/>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10,465</w:t>
            </w:r>
          </w:p>
        </w:tc>
        <w:tc>
          <w:tcPr>
            <w:tcW w:w="2061" w:type="dxa"/>
            <w:tcBorders>
              <w:top w:val="nil"/>
              <w:left w:val="nil"/>
              <w:bottom w:val="nil"/>
              <w:right w:val="nil"/>
            </w:tcBorders>
            <w:shd w:val="clear" w:color="auto" w:fill="D3DFEE"/>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10,465</w:t>
            </w:r>
          </w:p>
        </w:tc>
      </w:tr>
      <w:tr w:rsidR="00D76793" w:rsidRPr="00D712D0" w:rsidTr="00F6240A">
        <w:trPr>
          <w:trHeight w:val="316"/>
          <w:jc w:val="center"/>
        </w:trPr>
        <w:tc>
          <w:tcPr>
            <w:tcW w:w="716" w:type="dxa"/>
            <w:tcBorders>
              <w:top w:val="nil"/>
              <w:left w:val="nil"/>
              <w:bottom w:val="nil"/>
              <w:right w:val="nil"/>
            </w:tcBorders>
            <w:noWrap/>
            <w:hideMark/>
          </w:tcPr>
          <w:p w:rsidR="00D76793" w:rsidRPr="00D712D0" w:rsidRDefault="00D76793"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2017</w:t>
            </w:r>
          </w:p>
        </w:tc>
        <w:tc>
          <w:tcPr>
            <w:tcW w:w="2733" w:type="dxa"/>
            <w:tcBorders>
              <w:top w:val="nil"/>
              <w:left w:val="nil"/>
              <w:bottom w:val="nil"/>
              <w:right w:val="nil"/>
            </w:tcBorders>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231,400</w:t>
            </w:r>
          </w:p>
        </w:tc>
        <w:tc>
          <w:tcPr>
            <w:tcW w:w="1551" w:type="dxa"/>
            <w:tcBorders>
              <w:top w:val="nil"/>
              <w:left w:val="nil"/>
              <w:bottom w:val="nil"/>
              <w:right w:val="nil"/>
            </w:tcBorders>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11,570</w:t>
            </w:r>
          </w:p>
        </w:tc>
        <w:tc>
          <w:tcPr>
            <w:tcW w:w="2061" w:type="dxa"/>
            <w:tcBorders>
              <w:top w:val="nil"/>
              <w:left w:val="nil"/>
              <w:bottom w:val="nil"/>
              <w:right w:val="nil"/>
            </w:tcBorders>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11,570</w:t>
            </w:r>
          </w:p>
        </w:tc>
      </w:tr>
      <w:tr w:rsidR="00D76793" w:rsidRPr="00D712D0" w:rsidTr="00F6240A">
        <w:trPr>
          <w:trHeight w:val="316"/>
          <w:jc w:val="center"/>
        </w:trPr>
        <w:tc>
          <w:tcPr>
            <w:tcW w:w="716" w:type="dxa"/>
            <w:tcBorders>
              <w:top w:val="nil"/>
              <w:left w:val="nil"/>
              <w:bottom w:val="nil"/>
              <w:right w:val="nil"/>
            </w:tcBorders>
            <w:shd w:val="clear" w:color="auto" w:fill="D3DFEE"/>
            <w:noWrap/>
            <w:hideMark/>
          </w:tcPr>
          <w:p w:rsidR="00D76793" w:rsidRPr="00D712D0" w:rsidRDefault="00D76793"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2018</w:t>
            </w:r>
          </w:p>
        </w:tc>
        <w:tc>
          <w:tcPr>
            <w:tcW w:w="2733" w:type="dxa"/>
            <w:tcBorders>
              <w:top w:val="nil"/>
              <w:left w:val="nil"/>
              <w:bottom w:val="nil"/>
              <w:right w:val="nil"/>
            </w:tcBorders>
            <w:shd w:val="clear" w:color="auto" w:fill="D3DFEE"/>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253,600</w:t>
            </w:r>
          </w:p>
        </w:tc>
        <w:tc>
          <w:tcPr>
            <w:tcW w:w="1551" w:type="dxa"/>
            <w:tcBorders>
              <w:top w:val="nil"/>
              <w:left w:val="nil"/>
              <w:bottom w:val="nil"/>
              <w:right w:val="nil"/>
            </w:tcBorders>
            <w:shd w:val="clear" w:color="auto" w:fill="D3DFEE"/>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12,680</w:t>
            </w:r>
          </w:p>
        </w:tc>
        <w:tc>
          <w:tcPr>
            <w:tcW w:w="2061" w:type="dxa"/>
            <w:tcBorders>
              <w:top w:val="nil"/>
              <w:left w:val="nil"/>
              <w:bottom w:val="nil"/>
              <w:right w:val="nil"/>
            </w:tcBorders>
            <w:shd w:val="clear" w:color="auto" w:fill="D3DFEE"/>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12,680</w:t>
            </w:r>
          </w:p>
        </w:tc>
      </w:tr>
      <w:tr w:rsidR="00D76793" w:rsidRPr="00D712D0" w:rsidTr="00F6240A">
        <w:trPr>
          <w:trHeight w:val="316"/>
          <w:jc w:val="center"/>
        </w:trPr>
        <w:tc>
          <w:tcPr>
            <w:tcW w:w="716" w:type="dxa"/>
            <w:tcBorders>
              <w:top w:val="nil"/>
              <w:left w:val="nil"/>
              <w:bottom w:val="nil"/>
              <w:right w:val="nil"/>
            </w:tcBorders>
            <w:noWrap/>
            <w:hideMark/>
          </w:tcPr>
          <w:p w:rsidR="00D76793" w:rsidRPr="00D712D0" w:rsidRDefault="00D76793"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2019</w:t>
            </w:r>
          </w:p>
        </w:tc>
        <w:tc>
          <w:tcPr>
            <w:tcW w:w="2733" w:type="dxa"/>
            <w:tcBorders>
              <w:top w:val="nil"/>
              <w:left w:val="nil"/>
              <w:bottom w:val="nil"/>
              <w:right w:val="nil"/>
            </w:tcBorders>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278,100</w:t>
            </w:r>
          </w:p>
        </w:tc>
        <w:tc>
          <w:tcPr>
            <w:tcW w:w="1551" w:type="dxa"/>
            <w:tcBorders>
              <w:top w:val="nil"/>
              <w:left w:val="nil"/>
              <w:bottom w:val="nil"/>
              <w:right w:val="nil"/>
            </w:tcBorders>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13,905</w:t>
            </w:r>
          </w:p>
        </w:tc>
        <w:tc>
          <w:tcPr>
            <w:tcW w:w="2061" w:type="dxa"/>
            <w:tcBorders>
              <w:top w:val="nil"/>
              <w:left w:val="nil"/>
              <w:bottom w:val="nil"/>
              <w:right w:val="nil"/>
            </w:tcBorders>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13,905</w:t>
            </w:r>
          </w:p>
        </w:tc>
      </w:tr>
      <w:tr w:rsidR="00D76793" w:rsidRPr="00D712D0" w:rsidTr="00F6240A">
        <w:trPr>
          <w:trHeight w:val="316"/>
          <w:jc w:val="center"/>
        </w:trPr>
        <w:tc>
          <w:tcPr>
            <w:tcW w:w="716" w:type="dxa"/>
            <w:tcBorders>
              <w:top w:val="nil"/>
              <w:left w:val="nil"/>
              <w:bottom w:val="nil"/>
              <w:right w:val="nil"/>
            </w:tcBorders>
            <w:shd w:val="clear" w:color="auto" w:fill="D3DFEE"/>
            <w:noWrap/>
            <w:hideMark/>
          </w:tcPr>
          <w:p w:rsidR="00D76793" w:rsidRPr="00D712D0" w:rsidRDefault="00D76793"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2020</w:t>
            </w:r>
          </w:p>
        </w:tc>
        <w:tc>
          <w:tcPr>
            <w:tcW w:w="2733" w:type="dxa"/>
            <w:tcBorders>
              <w:top w:val="nil"/>
              <w:left w:val="nil"/>
              <w:bottom w:val="nil"/>
              <w:right w:val="nil"/>
            </w:tcBorders>
            <w:shd w:val="clear" w:color="auto" w:fill="D3DFEE"/>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304,900</w:t>
            </w:r>
          </w:p>
        </w:tc>
        <w:tc>
          <w:tcPr>
            <w:tcW w:w="1551" w:type="dxa"/>
            <w:tcBorders>
              <w:top w:val="nil"/>
              <w:left w:val="nil"/>
              <w:bottom w:val="nil"/>
              <w:right w:val="nil"/>
            </w:tcBorders>
            <w:shd w:val="clear" w:color="auto" w:fill="D3DFEE"/>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15,245</w:t>
            </w:r>
          </w:p>
        </w:tc>
        <w:tc>
          <w:tcPr>
            <w:tcW w:w="2061" w:type="dxa"/>
            <w:tcBorders>
              <w:top w:val="nil"/>
              <w:left w:val="nil"/>
              <w:bottom w:val="nil"/>
              <w:right w:val="nil"/>
            </w:tcBorders>
            <w:shd w:val="clear" w:color="auto" w:fill="D3DFEE"/>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15,245</w:t>
            </w:r>
          </w:p>
        </w:tc>
      </w:tr>
      <w:tr w:rsidR="00D76793" w:rsidRPr="00D712D0" w:rsidTr="00F6240A">
        <w:trPr>
          <w:trHeight w:val="316"/>
          <w:jc w:val="center"/>
        </w:trPr>
        <w:tc>
          <w:tcPr>
            <w:tcW w:w="716" w:type="dxa"/>
            <w:tcBorders>
              <w:top w:val="nil"/>
              <w:left w:val="nil"/>
              <w:bottom w:val="nil"/>
              <w:right w:val="nil"/>
            </w:tcBorders>
            <w:noWrap/>
            <w:hideMark/>
          </w:tcPr>
          <w:p w:rsidR="00D76793" w:rsidRPr="00D712D0" w:rsidRDefault="00D76793"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2021</w:t>
            </w:r>
          </w:p>
        </w:tc>
        <w:tc>
          <w:tcPr>
            <w:tcW w:w="2733" w:type="dxa"/>
            <w:tcBorders>
              <w:top w:val="nil"/>
              <w:left w:val="nil"/>
              <w:bottom w:val="nil"/>
              <w:right w:val="nil"/>
            </w:tcBorders>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334,100</w:t>
            </w:r>
          </w:p>
        </w:tc>
        <w:tc>
          <w:tcPr>
            <w:tcW w:w="1551" w:type="dxa"/>
            <w:tcBorders>
              <w:top w:val="nil"/>
              <w:left w:val="nil"/>
              <w:bottom w:val="nil"/>
              <w:right w:val="nil"/>
            </w:tcBorders>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16,705</w:t>
            </w:r>
          </w:p>
        </w:tc>
        <w:tc>
          <w:tcPr>
            <w:tcW w:w="2061" w:type="dxa"/>
            <w:tcBorders>
              <w:top w:val="nil"/>
              <w:left w:val="nil"/>
              <w:bottom w:val="nil"/>
              <w:right w:val="nil"/>
            </w:tcBorders>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16,705</w:t>
            </w:r>
          </w:p>
        </w:tc>
      </w:tr>
      <w:tr w:rsidR="00D76793" w:rsidRPr="00D712D0" w:rsidTr="00F6240A">
        <w:trPr>
          <w:trHeight w:val="316"/>
          <w:jc w:val="center"/>
        </w:trPr>
        <w:tc>
          <w:tcPr>
            <w:tcW w:w="716" w:type="dxa"/>
            <w:tcBorders>
              <w:top w:val="nil"/>
              <w:left w:val="nil"/>
              <w:bottom w:val="nil"/>
              <w:right w:val="nil"/>
            </w:tcBorders>
            <w:shd w:val="clear" w:color="auto" w:fill="D3DFEE"/>
            <w:noWrap/>
            <w:hideMark/>
          </w:tcPr>
          <w:p w:rsidR="00D76793" w:rsidRPr="00D712D0" w:rsidRDefault="00D76793"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2022</w:t>
            </w:r>
          </w:p>
        </w:tc>
        <w:tc>
          <w:tcPr>
            <w:tcW w:w="2733" w:type="dxa"/>
            <w:tcBorders>
              <w:top w:val="nil"/>
              <w:left w:val="nil"/>
              <w:bottom w:val="nil"/>
              <w:right w:val="nil"/>
            </w:tcBorders>
            <w:shd w:val="clear" w:color="auto" w:fill="D3DFEE"/>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366,100</w:t>
            </w:r>
          </w:p>
        </w:tc>
        <w:tc>
          <w:tcPr>
            <w:tcW w:w="1551" w:type="dxa"/>
            <w:tcBorders>
              <w:top w:val="nil"/>
              <w:left w:val="nil"/>
              <w:bottom w:val="nil"/>
              <w:right w:val="nil"/>
            </w:tcBorders>
            <w:shd w:val="clear" w:color="auto" w:fill="D3DFEE"/>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18,305</w:t>
            </w:r>
          </w:p>
        </w:tc>
        <w:tc>
          <w:tcPr>
            <w:tcW w:w="2061" w:type="dxa"/>
            <w:tcBorders>
              <w:top w:val="nil"/>
              <w:left w:val="nil"/>
              <w:bottom w:val="nil"/>
              <w:right w:val="nil"/>
            </w:tcBorders>
            <w:shd w:val="clear" w:color="auto" w:fill="D3DFEE"/>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18,305</w:t>
            </w:r>
          </w:p>
        </w:tc>
      </w:tr>
      <w:tr w:rsidR="00D76793" w:rsidRPr="00D712D0" w:rsidTr="00F6240A">
        <w:trPr>
          <w:trHeight w:val="316"/>
          <w:jc w:val="center"/>
        </w:trPr>
        <w:tc>
          <w:tcPr>
            <w:tcW w:w="716" w:type="dxa"/>
            <w:tcBorders>
              <w:top w:val="nil"/>
              <w:left w:val="nil"/>
              <w:bottom w:val="nil"/>
              <w:right w:val="nil"/>
            </w:tcBorders>
            <w:noWrap/>
            <w:hideMark/>
          </w:tcPr>
          <w:p w:rsidR="00D76793" w:rsidRPr="00D712D0" w:rsidRDefault="00D76793"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2023</w:t>
            </w:r>
          </w:p>
        </w:tc>
        <w:tc>
          <w:tcPr>
            <w:tcW w:w="2733" w:type="dxa"/>
            <w:tcBorders>
              <w:top w:val="nil"/>
              <w:left w:val="nil"/>
              <w:bottom w:val="nil"/>
              <w:right w:val="nil"/>
            </w:tcBorders>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401,200</w:t>
            </w:r>
          </w:p>
        </w:tc>
        <w:tc>
          <w:tcPr>
            <w:tcW w:w="1551" w:type="dxa"/>
            <w:tcBorders>
              <w:top w:val="nil"/>
              <w:left w:val="nil"/>
              <w:bottom w:val="nil"/>
              <w:right w:val="nil"/>
            </w:tcBorders>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20,060</w:t>
            </w:r>
          </w:p>
        </w:tc>
        <w:tc>
          <w:tcPr>
            <w:tcW w:w="2061" w:type="dxa"/>
            <w:tcBorders>
              <w:top w:val="nil"/>
              <w:left w:val="nil"/>
              <w:bottom w:val="nil"/>
              <w:right w:val="nil"/>
            </w:tcBorders>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20,060</w:t>
            </w:r>
          </w:p>
        </w:tc>
      </w:tr>
      <w:tr w:rsidR="00D76793" w:rsidRPr="00D712D0" w:rsidTr="00F6240A">
        <w:trPr>
          <w:trHeight w:val="316"/>
          <w:jc w:val="center"/>
        </w:trPr>
        <w:tc>
          <w:tcPr>
            <w:tcW w:w="716" w:type="dxa"/>
            <w:tcBorders>
              <w:top w:val="nil"/>
              <w:left w:val="nil"/>
              <w:bottom w:val="nil"/>
              <w:right w:val="nil"/>
            </w:tcBorders>
            <w:shd w:val="clear" w:color="auto" w:fill="D3DFEE"/>
            <w:noWrap/>
            <w:hideMark/>
          </w:tcPr>
          <w:p w:rsidR="00D76793" w:rsidRPr="00D712D0" w:rsidRDefault="00D76793"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2024</w:t>
            </w:r>
          </w:p>
        </w:tc>
        <w:tc>
          <w:tcPr>
            <w:tcW w:w="2733" w:type="dxa"/>
            <w:tcBorders>
              <w:top w:val="nil"/>
              <w:left w:val="nil"/>
              <w:bottom w:val="nil"/>
              <w:right w:val="nil"/>
            </w:tcBorders>
            <w:shd w:val="clear" w:color="auto" w:fill="D3DFEE"/>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439,900</w:t>
            </w:r>
          </w:p>
        </w:tc>
        <w:tc>
          <w:tcPr>
            <w:tcW w:w="1551" w:type="dxa"/>
            <w:tcBorders>
              <w:top w:val="nil"/>
              <w:left w:val="nil"/>
              <w:bottom w:val="nil"/>
              <w:right w:val="nil"/>
            </w:tcBorders>
            <w:shd w:val="clear" w:color="auto" w:fill="D3DFEE"/>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21,995</w:t>
            </w:r>
          </w:p>
        </w:tc>
        <w:tc>
          <w:tcPr>
            <w:tcW w:w="2061" w:type="dxa"/>
            <w:tcBorders>
              <w:top w:val="nil"/>
              <w:left w:val="nil"/>
              <w:bottom w:val="nil"/>
              <w:right w:val="nil"/>
            </w:tcBorders>
            <w:shd w:val="clear" w:color="auto" w:fill="D3DFEE"/>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21,995</w:t>
            </w:r>
          </w:p>
        </w:tc>
      </w:tr>
      <w:tr w:rsidR="00D76793" w:rsidRPr="00D712D0" w:rsidTr="00F6240A">
        <w:trPr>
          <w:trHeight w:val="316"/>
          <w:jc w:val="center"/>
        </w:trPr>
        <w:tc>
          <w:tcPr>
            <w:tcW w:w="716" w:type="dxa"/>
            <w:tcBorders>
              <w:top w:val="nil"/>
              <w:left w:val="nil"/>
              <w:bottom w:val="single" w:sz="8" w:space="0" w:color="4F81BD"/>
              <w:right w:val="nil"/>
            </w:tcBorders>
            <w:noWrap/>
            <w:hideMark/>
          </w:tcPr>
          <w:p w:rsidR="00D76793" w:rsidRPr="00D712D0" w:rsidRDefault="00D76793"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2025</w:t>
            </w:r>
          </w:p>
        </w:tc>
        <w:tc>
          <w:tcPr>
            <w:tcW w:w="2733" w:type="dxa"/>
            <w:tcBorders>
              <w:top w:val="nil"/>
              <w:left w:val="nil"/>
              <w:bottom w:val="single" w:sz="8" w:space="0" w:color="4F81BD"/>
              <w:right w:val="nil"/>
            </w:tcBorders>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482,000</w:t>
            </w:r>
          </w:p>
        </w:tc>
        <w:tc>
          <w:tcPr>
            <w:tcW w:w="1551" w:type="dxa"/>
            <w:tcBorders>
              <w:top w:val="nil"/>
              <w:left w:val="nil"/>
              <w:bottom w:val="single" w:sz="8" w:space="0" w:color="4F81BD"/>
              <w:right w:val="nil"/>
            </w:tcBorders>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24,100</w:t>
            </w:r>
          </w:p>
        </w:tc>
        <w:tc>
          <w:tcPr>
            <w:tcW w:w="2061" w:type="dxa"/>
            <w:tcBorders>
              <w:top w:val="nil"/>
              <w:left w:val="nil"/>
              <w:bottom w:val="single" w:sz="8" w:space="0" w:color="4F81BD"/>
              <w:right w:val="nil"/>
            </w:tcBorders>
            <w:noWrap/>
            <w:hideMark/>
          </w:tcPr>
          <w:p w:rsidR="00D76793" w:rsidRPr="00D712D0" w:rsidRDefault="00D76793" w:rsidP="00F6240A">
            <w:pPr>
              <w:jc w:val="center"/>
              <w:rPr>
                <w:rFonts w:ascii="Times New Roman" w:eastAsia="Times New Roman" w:hAnsi="Times New Roman"/>
                <w:b/>
                <w:sz w:val="24"/>
                <w:szCs w:val="24"/>
              </w:rPr>
            </w:pPr>
            <w:r w:rsidRPr="00D712D0">
              <w:rPr>
                <w:rFonts w:ascii="Times New Roman" w:eastAsia="Times New Roman" w:hAnsi="Times New Roman"/>
                <w:b/>
                <w:sz w:val="24"/>
                <w:szCs w:val="24"/>
              </w:rPr>
              <w:t>24,100</w:t>
            </w:r>
          </w:p>
        </w:tc>
      </w:tr>
    </w:tbl>
    <w:p w:rsidR="00D76793" w:rsidRPr="00D712D0" w:rsidRDefault="00D76793" w:rsidP="001175AD">
      <w:pPr>
        <w:spacing w:after="0" w:line="240" w:lineRule="auto"/>
        <w:ind w:firstLine="708"/>
        <w:jc w:val="both"/>
        <w:rPr>
          <w:rFonts w:ascii="Times New Roman" w:hAnsi="Times New Roman" w:cs="Times New Roman"/>
          <w:sz w:val="24"/>
          <w:szCs w:val="24"/>
          <w:lang w:val="hy-AM"/>
        </w:rPr>
      </w:pPr>
    </w:p>
    <w:p w:rsidR="00F6240A" w:rsidRPr="00D712D0" w:rsidRDefault="007211C8" w:rsidP="001175AD">
      <w:pPr>
        <w:spacing w:after="0" w:line="240" w:lineRule="auto"/>
        <w:ind w:firstLine="708"/>
        <w:jc w:val="both"/>
        <w:rPr>
          <w:rFonts w:ascii="Times New Roman" w:hAnsi="Times New Roman" w:cs="Times New Roman"/>
          <w:sz w:val="24"/>
          <w:szCs w:val="24"/>
          <w:lang w:val="hy-AM"/>
        </w:rPr>
      </w:pPr>
      <w:r w:rsidRPr="00D712D0">
        <w:rPr>
          <w:rFonts w:ascii="Times New Roman" w:hAnsi="Times New Roman" w:cs="Times New Roman"/>
          <w:sz w:val="24"/>
          <w:szCs w:val="24"/>
          <w:lang w:val="hy-AM"/>
        </w:rPr>
        <w:t>Initial government spending on pension system in year 2014 will be aproxim</w:t>
      </w:r>
      <w:r w:rsidR="00F6240A" w:rsidRPr="00D712D0">
        <w:rPr>
          <w:rFonts w:ascii="Times New Roman" w:hAnsi="Times New Roman" w:cs="Times New Roman"/>
          <w:sz w:val="24"/>
          <w:szCs w:val="24"/>
          <w:lang w:val="hy-AM"/>
        </w:rPr>
        <w:t xml:space="preserve">ately 50% of total investments, ammounting to </w:t>
      </w:r>
      <w:r w:rsidRPr="00D712D0">
        <w:rPr>
          <w:rFonts w:ascii="Times New Roman" w:hAnsi="Times New Roman" w:cs="Times New Roman"/>
          <w:sz w:val="24"/>
          <w:szCs w:val="24"/>
          <w:lang w:val="hy-AM"/>
        </w:rPr>
        <w:t>36.9 bln AMD, whereas future governemt  spending in year 2025 is forecasted at 2 bln AMD.</w:t>
      </w:r>
    </w:p>
    <w:p w:rsidR="00F6240A" w:rsidRPr="00D712D0" w:rsidRDefault="00F6240A" w:rsidP="001175AD">
      <w:pPr>
        <w:spacing w:after="0" w:line="240" w:lineRule="auto"/>
        <w:ind w:firstLine="708"/>
        <w:jc w:val="both"/>
        <w:rPr>
          <w:rFonts w:ascii="Times New Roman" w:hAnsi="Times New Roman" w:cs="Times New Roman"/>
          <w:sz w:val="24"/>
          <w:szCs w:val="24"/>
          <w:lang w:val="hy-AM"/>
        </w:rPr>
      </w:pPr>
    </w:p>
    <w:p w:rsidR="00F6240A" w:rsidRPr="00D712D0" w:rsidRDefault="00F6240A" w:rsidP="001175AD">
      <w:pPr>
        <w:spacing w:after="0" w:line="240" w:lineRule="auto"/>
        <w:ind w:firstLine="708"/>
        <w:jc w:val="both"/>
        <w:rPr>
          <w:rFonts w:ascii="Times New Roman" w:hAnsi="Times New Roman" w:cs="Times New Roman"/>
          <w:sz w:val="24"/>
          <w:szCs w:val="24"/>
          <w:lang w:val="hy-AM"/>
        </w:rPr>
      </w:pPr>
      <w:r w:rsidRPr="00D712D0">
        <w:rPr>
          <w:rFonts w:ascii="Times New Roman" w:hAnsi="Times New Roman" w:cs="Times New Roman"/>
          <w:sz w:val="24"/>
          <w:szCs w:val="24"/>
          <w:lang w:val="hy-AM"/>
        </w:rPr>
        <w:t>Table 4</w:t>
      </w:r>
    </w:p>
    <w:tbl>
      <w:tblPr>
        <w:tblStyle w:val="TableNormal1"/>
        <w:tblW w:w="9571" w:type="dxa"/>
        <w:tblInd w:w="0" w:type="dxa"/>
        <w:tblBorders>
          <w:top w:val="single" w:sz="8" w:space="0" w:color="4F81BD"/>
          <w:bottom w:val="single" w:sz="8" w:space="0" w:color="4F81BD"/>
        </w:tblBorders>
        <w:tblLook w:val="04A0" w:firstRow="1" w:lastRow="0" w:firstColumn="1" w:lastColumn="0" w:noHBand="0" w:noVBand="1"/>
      </w:tblPr>
      <w:tblGrid>
        <w:gridCol w:w="716"/>
        <w:gridCol w:w="1857"/>
        <w:gridCol w:w="2713"/>
        <w:gridCol w:w="1858"/>
        <w:gridCol w:w="2427"/>
      </w:tblGrid>
      <w:tr w:rsidR="00F6240A" w:rsidRPr="00D712D0" w:rsidTr="00F6240A">
        <w:trPr>
          <w:trHeight w:val="719"/>
        </w:trPr>
        <w:tc>
          <w:tcPr>
            <w:tcW w:w="716" w:type="dxa"/>
            <w:tcBorders>
              <w:top w:val="single" w:sz="8" w:space="0" w:color="4F81BD"/>
              <w:left w:val="nil"/>
              <w:bottom w:val="single" w:sz="8" w:space="0" w:color="4F81BD"/>
              <w:right w:val="nil"/>
            </w:tcBorders>
            <w:noWrap/>
            <w:hideMark/>
          </w:tcPr>
          <w:p w:rsidR="00F6240A" w:rsidRPr="00D712D0" w:rsidRDefault="00F6240A" w:rsidP="00F6240A">
            <w:pPr>
              <w:rPr>
                <w:rFonts w:ascii="Times New Roman" w:hAnsi="Times New Roman"/>
                <w:b/>
                <w:sz w:val="24"/>
                <w:szCs w:val="24"/>
              </w:rPr>
            </w:pPr>
          </w:p>
        </w:tc>
        <w:tc>
          <w:tcPr>
            <w:tcW w:w="1857" w:type="dxa"/>
            <w:tcBorders>
              <w:top w:val="single" w:sz="8" w:space="0" w:color="4F81BD"/>
              <w:left w:val="nil"/>
              <w:bottom w:val="single" w:sz="8" w:space="0" w:color="4F81BD"/>
              <w:right w:val="nil"/>
            </w:tcBorders>
            <w:hideMark/>
          </w:tcPr>
          <w:p w:rsidR="00F6240A" w:rsidRPr="00D712D0" w:rsidRDefault="004830C4" w:rsidP="00F6240A">
            <w:pPr>
              <w:jc w:val="center"/>
              <w:rPr>
                <w:rFonts w:ascii="Times New Roman" w:eastAsia="Times New Roman" w:hAnsi="Times New Roman"/>
                <w:b/>
                <w:bCs/>
                <w:sz w:val="24"/>
                <w:szCs w:val="24"/>
              </w:rPr>
            </w:pPr>
            <w:r>
              <w:rPr>
                <w:rFonts w:ascii="Times New Roman" w:eastAsia="Times New Roman" w:hAnsi="Times New Roman"/>
                <w:b/>
                <w:bCs/>
                <w:sz w:val="24"/>
                <w:szCs w:val="24"/>
              </w:rPr>
              <w:t>Gross private inputs (mln AMD)</w:t>
            </w:r>
          </w:p>
        </w:tc>
        <w:tc>
          <w:tcPr>
            <w:tcW w:w="2713" w:type="dxa"/>
            <w:tcBorders>
              <w:top w:val="single" w:sz="8" w:space="0" w:color="4F81BD"/>
              <w:left w:val="nil"/>
              <w:bottom w:val="single" w:sz="8" w:space="0" w:color="4F81BD"/>
              <w:right w:val="nil"/>
            </w:tcBorders>
            <w:hideMark/>
          </w:tcPr>
          <w:p w:rsidR="00F6240A" w:rsidRPr="00D712D0" w:rsidRDefault="004830C4" w:rsidP="004830C4">
            <w:pPr>
              <w:jc w:val="center"/>
              <w:rPr>
                <w:rFonts w:ascii="Times New Roman" w:eastAsia="Times New Roman" w:hAnsi="Times New Roman"/>
                <w:b/>
                <w:bCs/>
                <w:sz w:val="24"/>
                <w:szCs w:val="24"/>
                <w:lang w:val="ru-RU"/>
              </w:rPr>
            </w:pPr>
            <w:r>
              <w:rPr>
                <w:rFonts w:ascii="Times New Roman" w:eastAsia="Times New Roman" w:hAnsi="Times New Roman"/>
                <w:b/>
                <w:bCs/>
                <w:sz w:val="24"/>
                <w:szCs w:val="24"/>
                <w:lang w:val="en-US"/>
              </w:rPr>
              <w:t>Total inputs</w:t>
            </w:r>
            <w:r w:rsidR="00F6240A" w:rsidRPr="00D712D0">
              <w:rPr>
                <w:rFonts w:ascii="Times New Roman" w:eastAsia="Times New Roman" w:hAnsi="Times New Roman"/>
                <w:b/>
                <w:bCs/>
                <w:sz w:val="24"/>
                <w:szCs w:val="24"/>
                <w:lang w:val="ru-RU"/>
              </w:rPr>
              <w:t xml:space="preserve"> (</w:t>
            </w:r>
            <w:r>
              <w:rPr>
                <w:rFonts w:ascii="Times New Roman" w:eastAsia="Times New Roman" w:hAnsi="Times New Roman"/>
                <w:b/>
                <w:bCs/>
                <w:sz w:val="24"/>
                <w:szCs w:val="24"/>
                <w:lang w:val="en-US"/>
              </w:rPr>
              <w:t>mln AMD</w:t>
            </w:r>
            <w:r w:rsidR="00F6240A" w:rsidRPr="00D712D0">
              <w:rPr>
                <w:rFonts w:ascii="Times New Roman" w:eastAsia="Times New Roman" w:hAnsi="Times New Roman"/>
                <w:b/>
                <w:bCs/>
                <w:sz w:val="24"/>
                <w:szCs w:val="24"/>
                <w:lang w:val="ru-RU"/>
              </w:rPr>
              <w:t>)</w:t>
            </w:r>
          </w:p>
        </w:tc>
        <w:tc>
          <w:tcPr>
            <w:tcW w:w="1858" w:type="dxa"/>
            <w:tcBorders>
              <w:top w:val="single" w:sz="8" w:space="0" w:color="4F81BD"/>
              <w:left w:val="nil"/>
              <w:bottom w:val="single" w:sz="8" w:space="0" w:color="4F81BD"/>
              <w:right w:val="nil"/>
            </w:tcBorders>
            <w:hideMark/>
          </w:tcPr>
          <w:p w:rsidR="00F6240A" w:rsidRPr="00D712D0" w:rsidRDefault="004830C4" w:rsidP="004830C4">
            <w:pPr>
              <w:jc w:val="center"/>
              <w:rPr>
                <w:rFonts w:ascii="Times New Roman" w:eastAsia="Times New Roman" w:hAnsi="Times New Roman"/>
                <w:b/>
                <w:bCs/>
                <w:sz w:val="24"/>
                <w:szCs w:val="24"/>
              </w:rPr>
            </w:pPr>
            <w:r>
              <w:rPr>
                <w:rFonts w:ascii="Times New Roman" w:eastAsia="Times New Roman" w:hAnsi="Times New Roman"/>
                <w:b/>
                <w:bCs/>
                <w:sz w:val="24"/>
                <w:szCs w:val="24"/>
              </w:rPr>
              <w:t>Accumulated inputs</w:t>
            </w:r>
          </w:p>
        </w:tc>
        <w:tc>
          <w:tcPr>
            <w:tcW w:w="2427" w:type="dxa"/>
            <w:tcBorders>
              <w:top w:val="single" w:sz="8" w:space="0" w:color="4F81BD"/>
              <w:left w:val="nil"/>
              <w:bottom w:val="single" w:sz="8" w:space="0" w:color="4F81BD"/>
              <w:right w:val="nil"/>
            </w:tcBorders>
            <w:hideMark/>
          </w:tcPr>
          <w:p w:rsidR="00F6240A" w:rsidRPr="00D712D0" w:rsidRDefault="004830C4" w:rsidP="004830C4">
            <w:pPr>
              <w:jc w:val="center"/>
              <w:rPr>
                <w:rFonts w:ascii="Times New Roman" w:eastAsia="Times New Roman" w:hAnsi="Times New Roman"/>
                <w:b/>
                <w:bCs/>
                <w:sz w:val="24"/>
                <w:szCs w:val="24"/>
                <w:lang w:val="ru-RU"/>
              </w:rPr>
            </w:pPr>
            <w:r>
              <w:rPr>
                <w:rFonts w:ascii="Times New Roman" w:eastAsia="Times New Roman" w:hAnsi="Times New Roman"/>
                <w:b/>
                <w:bCs/>
                <w:sz w:val="24"/>
                <w:szCs w:val="24"/>
                <w:lang w:val="en-US"/>
              </w:rPr>
              <w:t>Public inputs</w:t>
            </w:r>
            <w:r w:rsidR="00F6240A" w:rsidRPr="00D712D0">
              <w:rPr>
                <w:rFonts w:ascii="Times New Roman" w:eastAsia="Times New Roman" w:hAnsi="Times New Roman"/>
                <w:b/>
                <w:bCs/>
                <w:sz w:val="24"/>
                <w:szCs w:val="24"/>
                <w:lang w:val="ru-RU"/>
              </w:rPr>
              <w:t xml:space="preserve"> (</w:t>
            </w:r>
            <w:r>
              <w:rPr>
                <w:rFonts w:ascii="Times New Roman" w:eastAsia="Times New Roman" w:hAnsi="Times New Roman"/>
                <w:b/>
                <w:bCs/>
                <w:sz w:val="24"/>
                <w:szCs w:val="24"/>
                <w:lang w:val="en-US"/>
              </w:rPr>
              <w:t>mln AMD</w:t>
            </w:r>
            <w:r w:rsidR="00F6240A" w:rsidRPr="00D712D0">
              <w:rPr>
                <w:rFonts w:ascii="Times New Roman" w:eastAsia="Times New Roman" w:hAnsi="Times New Roman"/>
                <w:b/>
                <w:bCs/>
                <w:sz w:val="24"/>
                <w:szCs w:val="24"/>
                <w:lang w:val="ru-RU"/>
              </w:rPr>
              <w:t>)</w:t>
            </w:r>
          </w:p>
        </w:tc>
      </w:tr>
      <w:tr w:rsidR="00F6240A" w:rsidRPr="00D712D0" w:rsidTr="00F6240A">
        <w:trPr>
          <w:trHeight w:val="284"/>
        </w:trPr>
        <w:tc>
          <w:tcPr>
            <w:tcW w:w="716" w:type="dxa"/>
            <w:tcBorders>
              <w:top w:val="nil"/>
              <w:left w:val="nil"/>
              <w:bottom w:val="nil"/>
              <w:right w:val="nil"/>
            </w:tcBorders>
            <w:shd w:val="clear" w:color="auto" w:fill="D3DFEE"/>
            <w:noWrap/>
            <w:hideMark/>
          </w:tcPr>
          <w:p w:rsidR="00F6240A" w:rsidRPr="00D712D0" w:rsidRDefault="00F6240A"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2014</w:t>
            </w:r>
          </w:p>
        </w:tc>
        <w:tc>
          <w:tcPr>
            <w:tcW w:w="1857" w:type="dxa"/>
            <w:tcBorders>
              <w:top w:val="nil"/>
              <w:left w:val="nil"/>
              <w:bottom w:val="nil"/>
              <w:right w:val="nil"/>
            </w:tcBorders>
            <w:shd w:val="clear" w:color="auto" w:fill="D3DFEE"/>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18,900</w:t>
            </w:r>
          </w:p>
        </w:tc>
        <w:tc>
          <w:tcPr>
            <w:tcW w:w="2713" w:type="dxa"/>
            <w:tcBorders>
              <w:top w:val="nil"/>
              <w:left w:val="nil"/>
              <w:bottom w:val="nil"/>
              <w:right w:val="nil"/>
            </w:tcBorders>
            <w:shd w:val="clear" w:color="auto" w:fill="D3DFEE"/>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36,900</w:t>
            </w:r>
          </w:p>
        </w:tc>
        <w:tc>
          <w:tcPr>
            <w:tcW w:w="1858" w:type="dxa"/>
            <w:tcBorders>
              <w:top w:val="nil"/>
              <w:left w:val="nil"/>
              <w:bottom w:val="nil"/>
              <w:right w:val="nil"/>
            </w:tcBorders>
            <w:shd w:val="clear" w:color="auto" w:fill="D3DFEE"/>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36,900</w:t>
            </w:r>
          </w:p>
        </w:tc>
        <w:tc>
          <w:tcPr>
            <w:tcW w:w="2427" w:type="dxa"/>
            <w:tcBorders>
              <w:top w:val="nil"/>
              <w:left w:val="nil"/>
              <w:bottom w:val="nil"/>
              <w:right w:val="nil"/>
            </w:tcBorders>
            <w:shd w:val="clear" w:color="auto" w:fill="D3DFEE"/>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18,000</w:t>
            </w:r>
          </w:p>
        </w:tc>
      </w:tr>
      <w:tr w:rsidR="00F6240A" w:rsidRPr="00D712D0" w:rsidTr="00F6240A">
        <w:trPr>
          <w:trHeight w:val="284"/>
        </w:trPr>
        <w:tc>
          <w:tcPr>
            <w:tcW w:w="716" w:type="dxa"/>
            <w:tcBorders>
              <w:top w:val="nil"/>
              <w:left w:val="nil"/>
              <w:bottom w:val="nil"/>
              <w:right w:val="nil"/>
            </w:tcBorders>
            <w:noWrap/>
            <w:hideMark/>
          </w:tcPr>
          <w:p w:rsidR="00F6240A" w:rsidRPr="00D712D0" w:rsidRDefault="00F6240A"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2015</w:t>
            </w:r>
          </w:p>
        </w:tc>
        <w:tc>
          <w:tcPr>
            <w:tcW w:w="1857" w:type="dxa"/>
            <w:tcBorders>
              <w:top w:val="nil"/>
              <w:left w:val="nil"/>
              <w:bottom w:val="nil"/>
              <w:right w:val="nil"/>
            </w:tcBorders>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26,250</w:t>
            </w:r>
          </w:p>
        </w:tc>
        <w:tc>
          <w:tcPr>
            <w:tcW w:w="2713" w:type="dxa"/>
            <w:tcBorders>
              <w:top w:val="nil"/>
              <w:left w:val="nil"/>
              <w:bottom w:val="nil"/>
              <w:right w:val="nil"/>
            </w:tcBorders>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51,250</w:t>
            </w:r>
          </w:p>
        </w:tc>
        <w:tc>
          <w:tcPr>
            <w:tcW w:w="1858" w:type="dxa"/>
            <w:tcBorders>
              <w:top w:val="nil"/>
              <w:left w:val="nil"/>
              <w:bottom w:val="nil"/>
              <w:right w:val="nil"/>
            </w:tcBorders>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88,150</w:t>
            </w:r>
          </w:p>
        </w:tc>
        <w:tc>
          <w:tcPr>
            <w:tcW w:w="2427" w:type="dxa"/>
            <w:tcBorders>
              <w:top w:val="nil"/>
              <w:left w:val="nil"/>
              <w:bottom w:val="nil"/>
              <w:right w:val="nil"/>
            </w:tcBorders>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25,000</w:t>
            </w:r>
          </w:p>
        </w:tc>
      </w:tr>
      <w:tr w:rsidR="00F6240A" w:rsidRPr="00D712D0" w:rsidTr="00F6240A">
        <w:trPr>
          <w:trHeight w:val="284"/>
        </w:trPr>
        <w:tc>
          <w:tcPr>
            <w:tcW w:w="716" w:type="dxa"/>
            <w:tcBorders>
              <w:top w:val="nil"/>
              <w:left w:val="nil"/>
              <w:bottom w:val="nil"/>
              <w:right w:val="nil"/>
            </w:tcBorders>
            <w:shd w:val="clear" w:color="auto" w:fill="D3DFEE"/>
            <w:noWrap/>
            <w:hideMark/>
          </w:tcPr>
          <w:p w:rsidR="00F6240A" w:rsidRPr="00D712D0" w:rsidRDefault="00F6240A"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2016</w:t>
            </w:r>
          </w:p>
        </w:tc>
        <w:tc>
          <w:tcPr>
            <w:tcW w:w="1857" w:type="dxa"/>
            <w:tcBorders>
              <w:top w:val="nil"/>
              <w:left w:val="nil"/>
              <w:bottom w:val="nil"/>
              <w:right w:val="nil"/>
            </w:tcBorders>
            <w:shd w:val="clear" w:color="auto" w:fill="D3DFEE"/>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40,743</w:t>
            </w:r>
          </w:p>
        </w:tc>
        <w:tc>
          <w:tcPr>
            <w:tcW w:w="2713" w:type="dxa"/>
            <w:tcBorders>
              <w:top w:val="nil"/>
              <w:left w:val="nil"/>
              <w:bottom w:val="nil"/>
              <w:right w:val="nil"/>
            </w:tcBorders>
            <w:shd w:val="clear" w:color="auto" w:fill="D3DFEE"/>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79,545</w:t>
            </w:r>
          </w:p>
        </w:tc>
        <w:tc>
          <w:tcPr>
            <w:tcW w:w="1858" w:type="dxa"/>
            <w:tcBorders>
              <w:top w:val="nil"/>
              <w:left w:val="nil"/>
              <w:bottom w:val="nil"/>
              <w:right w:val="nil"/>
            </w:tcBorders>
            <w:shd w:val="clear" w:color="auto" w:fill="D3DFEE"/>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171,378</w:t>
            </w:r>
          </w:p>
        </w:tc>
        <w:tc>
          <w:tcPr>
            <w:tcW w:w="2427" w:type="dxa"/>
            <w:tcBorders>
              <w:top w:val="nil"/>
              <w:left w:val="nil"/>
              <w:bottom w:val="nil"/>
              <w:right w:val="nil"/>
            </w:tcBorders>
            <w:shd w:val="clear" w:color="auto" w:fill="D3DFEE"/>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38,803</w:t>
            </w:r>
          </w:p>
        </w:tc>
      </w:tr>
      <w:tr w:rsidR="00F6240A" w:rsidRPr="00D712D0" w:rsidTr="00F6240A">
        <w:trPr>
          <w:trHeight w:val="284"/>
        </w:trPr>
        <w:tc>
          <w:tcPr>
            <w:tcW w:w="716" w:type="dxa"/>
            <w:tcBorders>
              <w:top w:val="nil"/>
              <w:left w:val="nil"/>
              <w:bottom w:val="nil"/>
              <w:right w:val="nil"/>
            </w:tcBorders>
            <w:noWrap/>
            <w:hideMark/>
          </w:tcPr>
          <w:p w:rsidR="00F6240A" w:rsidRPr="00D712D0" w:rsidRDefault="00F6240A"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2017</w:t>
            </w:r>
          </w:p>
        </w:tc>
        <w:tc>
          <w:tcPr>
            <w:tcW w:w="1857" w:type="dxa"/>
            <w:tcBorders>
              <w:top w:val="nil"/>
              <w:left w:val="nil"/>
              <w:bottom w:val="nil"/>
              <w:right w:val="nil"/>
            </w:tcBorders>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49,177</w:t>
            </w:r>
          </w:p>
        </w:tc>
        <w:tc>
          <w:tcPr>
            <w:tcW w:w="2713" w:type="dxa"/>
            <w:tcBorders>
              <w:top w:val="nil"/>
              <w:left w:val="nil"/>
              <w:bottom w:val="nil"/>
              <w:right w:val="nil"/>
            </w:tcBorders>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96,012</w:t>
            </w:r>
          </w:p>
        </w:tc>
        <w:tc>
          <w:tcPr>
            <w:tcW w:w="1858" w:type="dxa"/>
            <w:tcBorders>
              <w:top w:val="nil"/>
              <w:left w:val="nil"/>
              <w:bottom w:val="nil"/>
              <w:right w:val="nil"/>
            </w:tcBorders>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267,390</w:t>
            </w:r>
          </w:p>
        </w:tc>
        <w:tc>
          <w:tcPr>
            <w:tcW w:w="2427" w:type="dxa"/>
            <w:tcBorders>
              <w:top w:val="nil"/>
              <w:left w:val="nil"/>
              <w:bottom w:val="nil"/>
              <w:right w:val="nil"/>
            </w:tcBorders>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46,835</w:t>
            </w:r>
          </w:p>
        </w:tc>
      </w:tr>
      <w:tr w:rsidR="00F6240A" w:rsidRPr="00D712D0" w:rsidTr="00F6240A">
        <w:trPr>
          <w:trHeight w:val="284"/>
        </w:trPr>
        <w:tc>
          <w:tcPr>
            <w:tcW w:w="716" w:type="dxa"/>
            <w:tcBorders>
              <w:top w:val="nil"/>
              <w:left w:val="nil"/>
              <w:bottom w:val="nil"/>
              <w:right w:val="nil"/>
            </w:tcBorders>
            <w:shd w:val="clear" w:color="auto" w:fill="D3DFEE"/>
            <w:noWrap/>
            <w:hideMark/>
          </w:tcPr>
          <w:p w:rsidR="00F6240A" w:rsidRPr="00D712D0" w:rsidRDefault="00F6240A"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2018</w:t>
            </w:r>
          </w:p>
        </w:tc>
        <w:tc>
          <w:tcPr>
            <w:tcW w:w="1857" w:type="dxa"/>
            <w:tcBorders>
              <w:top w:val="nil"/>
              <w:left w:val="nil"/>
              <w:bottom w:val="nil"/>
              <w:right w:val="nil"/>
            </w:tcBorders>
            <w:shd w:val="clear" w:color="auto" w:fill="D3DFEE"/>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59,309</w:t>
            </w:r>
          </w:p>
        </w:tc>
        <w:tc>
          <w:tcPr>
            <w:tcW w:w="2713" w:type="dxa"/>
            <w:tcBorders>
              <w:top w:val="nil"/>
              <w:left w:val="nil"/>
              <w:bottom w:val="nil"/>
              <w:right w:val="nil"/>
            </w:tcBorders>
            <w:shd w:val="clear" w:color="auto" w:fill="D3DFEE"/>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115,793</w:t>
            </w:r>
          </w:p>
        </w:tc>
        <w:tc>
          <w:tcPr>
            <w:tcW w:w="1858" w:type="dxa"/>
            <w:tcBorders>
              <w:top w:val="nil"/>
              <w:left w:val="nil"/>
              <w:bottom w:val="nil"/>
              <w:right w:val="nil"/>
            </w:tcBorders>
            <w:shd w:val="clear" w:color="auto" w:fill="D3DFEE"/>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383,183</w:t>
            </w:r>
          </w:p>
        </w:tc>
        <w:tc>
          <w:tcPr>
            <w:tcW w:w="2427" w:type="dxa"/>
            <w:tcBorders>
              <w:top w:val="nil"/>
              <w:left w:val="nil"/>
              <w:bottom w:val="nil"/>
              <w:right w:val="nil"/>
            </w:tcBorders>
            <w:shd w:val="clear" w:color="auto" w:fill="D3DFEE"/>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56,484</w:t>
            </w:r>
          </w:p>
        </w:tc>
      </w:tr>
      <w:tr w:rsidR="00F6240A" w:rsidRPr="00D712D0" w:rsidTr="00F6240A">
        <w:trPr>
          <w:trHeight w:val="284"/>
        </w:trPr>
        <w:tc>
          <w:tcPr>
            <w:tcW w:w="716" w:type="dxa"/>
            <w:tcBorders>
              <w:top w:val="nil"/>
              <w:left w:val="nil"/>
              <w:bottom w:val="nil"/>
              <w:right w:val="nil"/>
            </w:tcBorders>
            <w:noWrap/>
            <w:hideMark/>
          </w:tcPr>
          <w:p w:rsidR="00F6240A" w:rsidRPr="00D712D0" w:rsidRDefault="00F6240A"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2019</w:t>
            </w:r>
          </w:p>
        </w:tc>
        <w:tc>
          <w:tcPr>
            <w:tcW w:w="1857" w:type="dxa"/>
            <w:tcBorders>
              <w:top w:val="nil"/>
              <w:left w:val="nil"/>
              <w:bottom w:val="nil"/>
              <w:right w:val="nil"/>
            </w:tcBorders>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71,247</w:t>
            </w:r>
          </w:p>
        </w:tc>
        <w:tc>
          <w:tcPr>
            <w:tcW w:w="2713" w:type="dxa"/>
            <w:tcBorders>
              <w:top w:val="nil"/>
              <w:left w:val="nil"/>
              <w:bottom w:val="nil"/>
              <w:right w:val="nil"/>
            </w:tcBorders>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139,101</w:t>
            </w:r>
          </w:p>
        </w:tc>
        <w:tc>
          <w:tcPr>
            <w:tcW w:w="1858" w:type="dxa"/>
            <w:tcBorders>
              <w:top w:val="nil"/>
              <w:left w:val="nil"/>
              <w:bottom w:val="nil"/>
              <w:right w:val="nil"/>
            </w:tcBorders>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522,285</w:t>
            </w:r>
          </w:p>
        </w:tc>
        <w:tc>
          <w:tcPr>
            <w:tcW w:w="2427" w:type="dxa"/>
            <w:tcBorders>
              <w:top w:val="nil"/>
              <w:left w:val="nil"/>
              <w:bottom w:val="nil"/>
              <w:right w:val="nil"/>
            </w:tcBorders>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67,854</w:t>
            </w:r>
          </w:p>
        </w:tc>
      </w:tr>
      <w:tr w:rsidR="00F6240A" w:rsidRPr="00D712D0" w:rsidTr="00F6240A">
        <w:trPr>
          <w:trHeight w:val="284"/>
        </w:trPr>
        <w:tc>
          <w:tcPr>
            <w:tcW w:w="716" w:type="dxa"/>
            <w:tcBorders>
              <w:top w:val="nil"/>
              <w:left w:val="nil"/>
              <w:bottom w:val="nil"/>
              <w:right w:val="nil"/>
            </w:tcBorders>
            <w:shd w:val="clear" w:color="auto" w:fill="D3DFEE"/>
            <w:noWrap/>
            <w:hideMark/>
          </w:tcPr>
          <w:p w:rsidR="00F6240A" w:rsidRPr="00D712D0" w:rsidRDefault="00F6240A"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2020</w:t>
            </w:r>
          </w:p>
        </w:tc>
        <w:tc>
          <w:tcPr>
            <w:tcW w:w="1857" w:type="dxa"/>
            <w:tcBorders>
              <w:top w:val="nil"/>
              <w:left w:val="nil"/>
              <w:bottom w:val="nil"/>
              <w:right w:val="nil"/>
            </w:tcBorders>
            <w:shd w:val="clear" w:color="auto" w:fill="D3DFEE"/>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85,216</w:t>
            </w:r>
          </w:p>
        </w:tc>
        <w:tc>
          <w:tcPr>
            <w:tcW w:w="2713" w:type="dxa"/>
            <w:tcBorders>
              <w:top w:val="nil"/>
              <w:left w:val="nil"/>
              <w:bottom w:val="nil"/>
              <w:right w:val="nil"/>
            </w:tcBorders>
            <w:shd w:val="clear" w:color="auto" w:fill="D3DFEE"/>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166,375</w:t>
            </w:r>
          </w:p>
        </w:tc>
        <w:tc>
          <w:tcPr>
            <w:tcW w:w="1858" w:type="dxa"/>
            <w:tcBorders>
              <w:top w:val="nil"/>
              <w:left w:val="nil"/>
              <w:bottom w:val="nil"/>
              <w:right w:val="nil"/>
            </w:tcBorders>
            <w:shd w:val="clear" w:color="auto" w:fill="D3DFEE"/>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688,659</w:t>
            </w:r>
          </w:p>
        </w:tc>
        <w:tc>
          <w:tcPr>
            <w:tcW w:w="2427" w:type="dxa"/>
            <w:tcBorders>
              <w:top w:val="nil"/>
              <w:left w:val="nil"/>
              <w:bottom w:val="nil"/>
              <w:right w:val="nil"/>
            </w:tcBorders>
            <w:shd w:val="clear" w:color="auto" w:fill="D3DFEE"/>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81,158</w:t>
            </w:r>
          </w:p>
        </w:tc>
      </w:tr>
      <w:tr w:rsidR="00F6240A" w:rsidRPr="00D712D0" w:rsidTr="00F6240A">
        <w:trPr>
          <w:trHeight w:val="284"/>
        </w:trPr>
        <w:tc>
          <w:tcPr>
            <w:tcW w:w="716" w:type="dxa"/>
            <w:tcBorders>
              <w:top w:val="nil"/>
              <w:left w:val="nil"/>
              <w:bottom w:val="nil"/>
              <w:right w:val="nil"/>
            </w:tcBorders>
            <w:noWrap/>
            <w:hideMark/>
          </w:tcPr>
          <w:p w:rsidR="00F6240A" w:rsidRPr="00D712D0" w:rsidRDefault="00F6240A"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2021</w:t>
            </w:r>
          </w:p>
        </w:tc>
        <w:tc>
          <w:tcPr>
            <w:tcW w:w="1857" w:type="dxa"/>
            <w:tcBorders>
              <w:top w:val="nil"/>
              <w:left w:val="nil"/>
              <w:bottom w:val="nil"/>
              <w:right w:val="nil"/>
            </w:tcBorders>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101,424</w:t>
            </w:r>
          </w:p>
        </w:tc>
        <w:tc>
          <w:tcPr>
            <w:tcW w:w="2713" w:type="dxa"/>
            <w:tcBorders>
              <w:top w:val="nil"/>
              <w:left w:val="nil"/>
              <w:bottom w:val="nil"/>
              <w:right w:val="nil"/>
            </w:tcBorders>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198,018</w:t>
            </w:r>
          </w:p>
        </w:tc>
        <w:tc>
          <w:tcPr>
            <w:tcW w:w="1858" w:type="dxa"/>
            <w:tcBorders>
              <w:top w:val="nil"/>
              <w:left w:val="nil"/>
              <w:bottom w:val="nil"/>
              <w:right w:val="nil"/>
            </w:tcBorders>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886,678</w:t>
            </w:r>
          </w:p>
        </w:tc>
        <w:tc>
          <w:tcPr>
            <w:tcW w:w="2427" w:type="dxa"/>
            <w:tcBorders>
              <w:top w:val="nil"/>
              <w:left w:val="nil"/>
              <w:bottom w:val="nil"/>
              <w:right w:val="nil"/>
            </w:tcBorders>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96,594</w:t>
            </w:r>
          </w:p>
        </w:tc>
      </w:tr>
      <w:tr w:rsidR="00F6240A" w:rsidRPr="00D712D0" w:rsidTr="00F6240A">
        <w:trPr>
          <w:trHeight w:val="182"/>
        </w:trPr>
        <w:tc>
          <w:tcPr>
            <w:tcW w:w="716" w:type="dxa"/>
            <w:tcBorders>
              <w:top w:val="nil"/>
              <w:left w:val="nil"/>
              <w:bottom w:val="nil"/>
              <w:right w:val="nil"/>
            </w:tcBorders>
            <w:shd w:val="clear" w:color="auto" w:fill="D3DFEE"/>
            <w:noWrap/>
            <w:hideMark/>
          </w:tcPr>
          <w:p w:rsidR="00F6240A" w:rsidRPr="00D712D0" w:rsidRDefault="00F6240A" w:rsidP="00F6240A">
            <w:pPr>
              <w:jc w:val="center"/>
              <w:rPr>
                <w:rFonts w:ascii="Times New Roman" w:eastAsia="Times New Roman" w:hAnsi="Times New Roman"/>
                <w:b/>
                <w:bCs/>
                <w:sz w:val="24"/>
                <w:szCs w:val="24"/>
              </w:rPr>
            </w:pPr>
            <w:r w:rsidRPr="00D712D0">
              <w:rPr>
                <w:rFonts w:ascii="Times New Roman" w:eastAsia="Times New Roman" w:hAnsi="Times New Roman"/>
                <w:b/>
                <w:bCs/>
                <w:sz w:val="24"/>
                <w:szCs w:val="24"/>
              </w:rPr>
              <w:t>2022</w:t>
            </w:r>
          </w:p>
        </w:tc>
        <w:tc>
          <w:tcPr>
            <w:tcW w:w="1857" w:type="dxa"/>
            <w:tcBorders>
              <w:top w:val="nil"/>
              <w:left w:val="nil"/>
              <w:bottom w:val="nil"/>
              <w:right w:val="nil"/>
            </w:tcBorders>
            <w:shd w:val="clear" w:color="auto" w:fill="D3DFEE"/>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120,400</w:t>
            </w:r>
          </w:p>
        </w:tc>
        <w:tc>
          <w:tcPr>
            <w:tcW w:w="2713" w:type="dxa"/>
            <w:tcBorders>
              <w:top w:val="nil"/>
              <w:left w:val="nil"/>
              <w:bottom w:val="nil"/>
              <w:right w:val="nil"/>
            </w:tcBorders>
            <w:shd w:val="clear" w:color="auto" w:fill="D3DFEE"/>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235,066</w:t>
            </w:r>
          </w:p>
        </w:tc>
        <w:tc>
          <w:tcPr>
            <w:tcW w:w="1858" w:type="dxa"/>
            <w:tcBorders>
              <w:top w:val="nil"/>
              <w:left w:val="nil"/>
              <w:bottom w:val="nil"/>
              <w:right w:val="nil"/>
            </w:tcBorders>
            <w:shd w:val="clear" w:color="auto" w:fill="D3DFEE"/>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1,121,744</w:t>
            </w:r>
          </w:p>
        </w:tc>
        <w:tc>
          <w:tcPr>
            <w:tcW w:w="2427" w:type="dxa"/>
            <w:tcBorders>
              <w:top w:val="nil"/>
              <w:left w:val="nil"/>
              <w:bottom w:val="nil"/>
              <w:right w:val="nil"/>
            </w:tcBorders>
            <w:shd w:val="clear" w:color="auto" w:fill="D3DFEE"/>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114,667</w:t>
            </w:r>
          </w:p>
        </w:tc>
      </w:tr>
      <w:tr w:rsidR="00F6240A" w:rsidRPr="00D712D0" w:rsidTr="00F6240A">
        <w:trPr>
          <w:trHeight w:val="184"/>
        </w:trPr>
        <w:tc>
          <w:tcPr>
            <w:tcW w:w="716" w:type="dxa"/>
            <w:tcBorders>
              <w:top w:val="nil"/>
              <w:left w:val="nil"/>
              <w:bottom w:val="nil"/>
              <w:right w:val="nil"/>
            </w:tcBorders>
            <w:noWrap/>
            <w:hideMark/>
          </w:tcPr>
          <w:p w:rsidR="00F6240A" w:rsidRPr="00D712D0" w:rsidRDefault="00F6240A" w:rsidP="00F6240A">
            <w:pPr>
              <w:jc w:val="center"/>
              <w:rPr>
                <w:rFonts w:ascii="Times New Roman" w:eastAsia="Times New Roman" w:hAnsi="Times New Roman"/>
                <w:b/>
                <w:bCs/>
                <w:sz w:val="24"/>
                <w:szCs w:val="24"/>
                <w:lang w:val="en-CA" w:eastAsia="en-CA"/>
              </w:rPr>
            </w:pPr>
            <w:r w:rsidRPr="00D712D0">
              <w:rPr>
                <w:rFonts w:ascii="Times New Roman" w:eastAsia="Times New Roman" w:hAnsi="Times New Roman"/>
                <w:b/>
                <w:bCs/>
                <w:sz w:val="24"/>
                <w:szCs w:val="24"/>
              </w:rPr>
              <w:t>2023</w:t>
            </w:r>
          </w:p>
        </w:tc>
        <w:tc>
          <w:tcPr>
            <w:tcW w:w="1857" w:type="dxa"/>
            <w:tcBorders>
              <w:top w:val="nil"/>
              <w:left w:val="nil"/>
              <w:bottom w:val="nil"/>
              <w:right w:val="nil"/>
            </w:tcBorders>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142,360</w:t>
            </w:r>
          </w:p>
        </w:tc>
        <w:tc>
          <w:tcPr>
            <w:tcW w:w="2713" w:type="dxa"/>
            <w:tcBorders>
              <w:top w:val="nil"/>
              <w:left w:val="nil"/>
              <w:bottom w:val="nil"/>
              <w:right w:val="nil"/>
            </w:tcBorders>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277,942</w:t>
            </w:r>
          </w:p>
        </w:tc>
        <w:tc>
          <w:tcPr>
            <w:tcW w:w="1858" w:type="dxa"/>
            <w:tcBorders>
              <w:top w:val="nil"/>
              <w:left w:val="nil"/>
              <w:bottom w:val="nil"/>
              <w:right w:val="nil"/>
            </w:tcBorders>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1,399,686</w:t>
            </w:r>
          </w:p>
        </w:tc>
        <w:tc>
          <w:tcPr>
            <w:tcW w:w="2427" w:type="dxa"/>
            <w:tcBorders>
              <w:top w:val="nil"/>
              <w:left w:val="nil"/>
              <w:bottom w:val="nil"/>
              <w:right w:val="nil"/>
            </w:tcBorders>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135,581</w:t>
            </w:r>
          </w:p>
        </w:tc>
      </w:tr>
      <w:tr w:rsidR="00F6240A" w:rsidRPr="00D712D0" w:rsidTr="00F6240A">
        <w:trPr>
          <w:trHeight w:val="149"/>
        </w:trPr>
        <w:tc>
          <w:tcPr>
            <w:tcW w:w="716" w:type="dxa"/>
            <w:tcBorders>
              <w:top w:val="nil"/>
              <w:left w:val="nil"/>
              <w:bottom w:val="nil"/>
              <w:right w:val="nil"/>
            </w:tcBorders>
            <w:shd w:val="clear" w:color="auto" w:fill="D3DFEE"/>
            <w:noWrap/>
            <w:hideMark/>
          </w:tcPr>
          <w:p w:rsidR="00F6240A" w:rsidRPr="00D712D0" w:rsidRDefault="00F6240A" w:rsidP="00F6240A">
            <w:pPr>
              <w:jc w:val="center"/>
              <w:rPr>
                <w:rFonts w:ascii="Times New Roman" w:eastAsia="Times New Roman" w:hAnsi="Times New Roman"/>
                <w:b/>
                <w:bCs/>
                <w:sz w:val="24"/>
                <w:szCs w:val="24"/>
                <w:lang w:val="en-CA" w:eastAsia="en-CA"/>
              </w:rPr>
            </w:pPr>
            <w:r w:rsidRPr="00D712D0">
              <w:rPr>
                <w:rFonts w:ascii="Times New Roman" w:eastAsia="Times New Roman" w:hAnsi="Times New Roman"/>
                <w:b/>
                <w:bCs/>
                <w:sz w:val="24"/>
                <w:szCs w:val="24"/>
              </w:rPr>
              <w:t>2024</w:t>
            </w:r>
          </w:p>
        </w:tc>
        <w:tc>
          <w:tcPr>
            <w:tcW w:w="1857" w:type="dxa"/>
            <w:tcBorders>
              <w:top w:val="nil"/>
              <w:left w:val="nil"/>
              <w:bottom w:val="nil"/>
              <w:right w:val="nil"/>
            </w:tcBorders>
            <w:shd w:val="clear" w:color="auto" w:fill="D3DFEE"/>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167,681</w:t>
            </w:r>
          </w:p>
        </w:tc>
        <w:tc>
          <w:tcPr>
            <w:tcW w:w="2713" w:type="dxa"/>
            <w:tcBorders>
              <w:top w:val="nil"/>
              <w:left w:val="nil"/>
              <w:bottom w:val="nil"/>
              <w:right w:val="nil"/>
            </w:tcBorders>
            <w:shd w:val="clear" w:color="auto" w:fill="D3DFEE"/>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327,377</w:t>
            </w:r>
          </w:p>
        </w:tc>
        <w:tc>
          <w:tcPr>
            <w:tcW w:w="1858" w:type="dxa"/>
            <w:tcBorders>
              <w:top w:val="nil"/>
              <w:left w:val="nil"/>
              <w:bottom w:val="nil"/>
              <w:right w:val="nil"/>
            </w:tcBorders>
            <w:shd w:val="clear" w:color="auto" w:fill="D3DFEE"/>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1,727,063</w:t>
            </w:r>
          </w:p>
        </w:tc>
        <w:tc>
          <w:tcPr>
            <w:tcW w:w="2427" w:type="dxa"/>
            <w:tcBorders>
              <w:top w:val="nil"/>
              <w:left w:val="nil"/>
              <w:bottom w:val="nil"/>
              <w:right w:val="nil"/>
            </w:tcBorders>
            <w:shd w:val="clear" w:color="auto" w:fill="D3DFEE"/>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159,696</w:t>
            </w:r>
          </w:p>
        </w:tc>
      </w:tr>
      <w:tr w:rsidR="00F6240A" w:rsidRPr="00D712D0" w:rsidTr="00F6240A">
        <w:trPr>
          <w:trHeight w:val="133"/>
        </w:trPr>
        <w:tc>
          <w:tcPr>
            <w:tcW w:w="716" w:type="dxa"/>
            <w:tcBorders>
              <w:top w:val="nil"/>
              <w:left w:val="nil"/>
              <w:bottom w:val="single" w:sz="8" w:space="0" w:color="4F81BD"/>
              <w:right w:val="nil"/>
            </w:tcBorders>
            <w:noWrap/>
            <w:hideMark/>
          </w:tcPr>
          <w:p w:rsidR="00F6240A" w:rsidRPr="00D712D0" w:rsidRDefault="00F6240A" w:rsidP="00F6240A">
            <w:pPr>
              <w:jc w:val="center"/>
              <w:rPr>
                <w:rFonts w:ascii="Times New Roman" w:eastAsia="Times New Roman" w:hAnsi="Times New Roman"/>
                <w:b/>
                <w:bCs/>
                <w:sz w:val="24"/>
                <w:szCs w:val="24"/>
                <w:lang w:val="en-CA" w:eastAsia="en-CA"/>
              </w:rPr>
            </w:pPr>
            <w:r w:rsidRPr="00D712D0">
              <w:rPr>
                <w:rFonts w:ascii="Times New Roman" w:eastAsia="Times New Roman" w:hAnsi="Times New Roman"/>
                <w:b/>
                <w:bCs/>
                <w:sz w:val="24"/>
                <w:szCs w:val="24"/>
              </w:rPr>
              <w:t>2025</w:t>
            </w:r>
          </w:p>
        </w:tc>
        <w:tc>
          <w:tcPr>
            <w:tcW w:w="1857" w:type="dxa"/>
            <w:tcBorders>
              <w:top w:val="nil"/>
              <w:left w:val="nil"/>
              <w:bottom w:val="single" w:sz="8" w:space="0" w:color="4F81BD"/>
              <w:right w:val="nil"/>
            </w:tcBorders>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190,555</w:t>
            </w:r>
          </w:p>
        </w:tc>
        <w:tc>
          <w:tcPr>
            <w:tcW w:w="2713" w:type="dxa"/>
            <w:tcBorders>
              <w:top w:val="nil"/>
              <w:left w:val="nil"/>
              <w:bottom w:val="single" w:sz="8" w:space="0" w:color="4F81BD"/>
              <w:right w:val="nil"/>
            </w:tcBorders>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372,036</w:t>
            </w:r>
          </w:p>
        </w:tc>
        <w:tc>
          <w:tcPr>
            <w:tcW w:w="1858" w:type="dxa"/>
            <w:tcBorders>
              <w:top w:val="nil"/>
              <w:left w:val="nil"/>
              <w:bottom w:val="single" w:sz="8" w:space="0" w:color="4F81BD"/>
              <w:right w:val="nil"/>
            </w:tcBorders>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2,099,099</w:t>
            </w:r>
          </w:p>
        </w:tc>
        <w:tc>
          <w:tcPr>
            <w:tcW w:w="2427" w:type="dxa"/>
            <w:tcBorders>
              <w:top w:val="nil"/>
              <w:left w:val="nil"/>
              <w:bottom w:val="single" w:sz="8" w:space="0" w:color="4F81BD"/>
              <w:right w:val="nil"/>
            </w:tcBorders>
            <w:noWrap/>
            <w:hideMark/>
          </w:tcPr>
          <w:p w:rsidR="00F6240A" w:rsidRPr="00D712D0" w:rsidRDefault="00F6240A" w:rsidP="00F6240A">
            <w:pPr>
              <w:jc w:val="center"/>
              <w:rPr>
                <w:rFonts w:ascii="Times New Roman" w:eastAsia="Times New Roman" w:hAnsi="Times New Roman"/>
                <w:b/>
                <w:sz w:val="24"/>
                <w:szCs w:val="24"/>
                <w:lang w:val="en-CA" w:eastAsia="en-CA"/>
              </w:rPr>
            </w:pPr>
            <w:r w:rsidRPr="00D712D0">
              <w:rPr>
                <w:rFonts w:ascii="Times New Roman" w:eastAsia="Times New Roman" w:hAnsi="Times New Roman"/>
                <w:b/>
                <w:sz w:val="24"/>
                <w:szCs w:val="24"/>
                <w:lang w:val="en-CA" w:eastAsia="en-CA"/>
              </w:rPr>
              <w:t>181,481</w:t>
            </w:r>
          </w:p>
        </w:tc>
      </w:tr>
    </w:tbl>
    <w:p w:rsidR="00D76793" w:rsidRPr="00D712D0" w:rsidRDefault="00C222DB" w:rsidP="001175AD">
      <w:pPr>
        <w:spacing w:after="0" w:line="240" w:lineRule="auto"/>
        <w:ind w:firstLine="708"/>
        <w:jc w:val="both"/>
        <w:rPr>
          <w:rFonts w:ascii="Times New Roman" w:hAnsi="Times New Roman" w:cs="Times New Roman"/>
          <w:sz w:val="24"/>
          <w:szCs w:val="24"/>
          <w:lang w:val="en-US"/>
        </w:rPr>
      </w:pPr>
      <w:r w:rsidRPr="00D712D0">
        <w:rPr>
          <w:rFonts w:ascii="Times New Roman" w:hAnsi="Times New Roman" w:cs="Times New Roman"/>
          <w:sz w:val="24"/>
          <w:szCs w:val="24"/>
          <w:lang w:val="en-US"/>
        </w:rPr>
        <w:lastRenderedPageBreak/>
        <w:t xml:space="preserve">The yearly </w:t>
      </w:r>
      <w:r w:rsidR="000D6C1C" w:rsidRPr="00D712D0">
        <w:rPr>
          <w:rFonts w:ascii="Times New Roman" w:hAnsi="Times New Roman" w:cs="Times New Roman"/>
          <w:sz w:val="24"/>
          <w:szCs w:val="24"/>
          <w:lang w:val="en-US"/>
        </w:rPr>
        <w:t>investments</w:t>
      </w:r>
      <w:r w:rsidRPr="00D712D0">
        <w:rPr>
          <w:rFonts w:ascii="Times New Roman" w:hAnsi="Times New Roman" w:cs="Times New Roman"/>
          <w:sz w:val="24"/>
          <w:szCs w:val="24"/>
          <w:lang w:val="en-US"/>
        </w:rPr>
        <w:t xml:space="preserve"> in</w:t>
      </w:r>
      <w:r w:rsidR="004B33BF">
        <w:rPr>
          <w:rFonts w:ascii="Times New Roman" w:hAnsi="Times New Roman" w:cs="Times New Roman"/>
          <w:sz w:val="24"/>
          <w:szCs w:val="24"/>
          <w:lang w:val="en-US"/>
        </w:rPr>
        <w:t>to the pension system will be 37</w:t>
      </w:r>
      <w:r w:rsidRPr="00D712D0">
        <w:rPr>
          <w:rFonts w:ascii="Times New Roman" w:hAnsi="Times New Roman" w:cs="Times New Roman"/>
          <w:sz w:val="24"/>
          <w:szCs w:val="24"/>
          <w:lang w:val="en-US"/>
        </w:rPr>
        <w:t>2.3 bln AMD</w:t>
      </w:r>
      <w:r w:rsidR="00CF6BCD" w:rsidRPr="00D712D0">
        <w:rPr>
          <w:rFonts w:ascii="Times New Roman" w:hAnsi="Times New Roman" w:cs="Times New Roman"/>
          <w:sz w:val="24"/>
          <w:szCs w:val="24"/>
          <w:lang w:val="en-US"/>
        </w:rPr>
        <w:t xml:space="preserve"> in year 202</w:t>
      </w:r>
      <w:r w:rsidR="004B33BF">
        <w:rPr>
          <w:rFonts w:ascii="Times New Roman" w:hAnsi="Times New Roman" w:cs="Times New Roman"/>
          <w:sz w:val="24"/>
          <w:szCs w:val="24"/>
          <w:lang w:val="en-US"/>
        </w:rPr>
        <w:t>5. It is clear that Armenian finan</w:t>
      </w:r>
      <w:r w:rsidR="00CF6BCD" w:rsidRPr="00D712D0">
        <w:rPr>
          <w:rFonts w:ascii="Times New Roman" w:hAnsi="Times New Roman" w:cs="Times New Roman"/>
          <w:sz w:val="24"/>
          <w:szCs w:val="24"/>
          <w:lang w:val="en-US"/>
        </w:rPr>
        <w:t xml:space="preserve">cial markets will not be able to create adequate supply of securities as they are now. Thus the pension finds managers will have to look for other investment opportunities, such as national and foreign </w:t>
      </w:r>
      <w:r w:rsidR="00C85057" w:rsidRPr="00D712D0">
        <w:rPr>
          <w:rFonts w:ascii="Times New Roman" w:hAnsi="Times New Roman" w:cs="Times New Roman"/>
          <w:sz w:val="24"/>
          <w:szCs w:val="24"/>
          <w:lang w:val="en-US"/>
        </w:rPr>
        <w:t>government</w:t>
      </w:r>
      <w:r w:rsidR="00CF6BCD" w:rsidRPr="00D712D0">
        <w:rPr>
          <w:rFonts w:ascii="Times New Roman" w:hAnsi="Times New Roman" w:cs="Times New Roman"/>
          <w:sz w:val="24"/>
          <w:szCs w:val="24"/>
          <w:lang w:val="en-US"/>
        </w:rPr>
        <w:t xml:space="preserve"> loans, banking sector deposits and securities issued by international companies with the highest safety rating.</w:t>
      </w:r>
      <w:r w:rsidR="001B30DE" w:rsidRPr="00D712D0">
        <w:rPr>
          <w:rFonts w:ascii="Times New Roman" w:hAnsi="Times New Roman" w:cs="Times New Roman"/>
          <w:sz w:val="24"/>
          <w:szCs w:val="24"/>
          <w:lang w:val="en-US"/>
        </w:rPr>
        <w:t xml:space="preserve"> According to the forecasts of several experts of AVAG solutions, there is a possibility of most investment</w:t>
      </w:r>
      <w:r w:rsidR="00BF199F" w:rsidRPr="00D712D0">
        <w:rPr>
          <w:rFonts w:ascii="Times New Roman" w:hAnsi="Times New Roman" w:cs="Times New Roman"/>
          <w:sz w:val="24"/>
          <w:szCs w:val="24"/>
          <w:lang w:val="en-US"/>
        </w:rPr>
        <w:t xml:space="preserve">s flowing into government </w:t>
      </w:r>
      <w:r w:rsidR="00D40D3C" w:rsidRPr="00D712D0">
        <w:rPr>
          <w:rFonts w:ascii="Times New Roman" w:hAnsi="Times New Roman" w:cs="Times New Roman"/>
          <w:sz w:val="24"/>
          <w:szCs w:val="24"/>
          <w:lang w:val="en-US"/>
        </w:rPr>
        <w:t>bonds;</w:t>
      </w:r>
      <w:r w:rsidR="00C85057" w:rsidRPr="00D712D0">
        <w:rPr>
          <w:rFonts w:ascii="Times New Roman" w:hAnsi="Times New Roman" w:cs="Times New Roman"/>
          <w:sz w:val="24"/>
          <w:szCs w:val="24"/>
          <w:lang w:val="en-US"/>
        </w:rPr>
        <w:t xml:space="preserve"> hereafter we </w:t>
      </w:r>
      <w:r w:rsidR="00D40D3C" w:rsidRPr="00D712D0">
        <w:rPr>
          <w:rFonts w:ascii="Times New Roman" w:hAnsi="Times New Roman" w:cs="Times New Roman"/>
          <w:sz w:val="24"/>
          <w:szCs w:val="24"/>
          <w:lang w:val="en-US"/>
        </w:rPr>
        <w:t>will assume that 100% of investments flow into government 25 year maturity bonds</w:t>
      </w:r>
      <w:r w:rsidR="00C85057" w:rsidRPr="00D712D0">
        <w:rPr>
          <w:rFonts w:ascii="Times New Roman" w:hAnsi="Times New Roman" w:cs="Times New Roman"/>
          <w:sz w:val="24"/>
          <w:szCs w:val="24"/>
          <w:lang w:val="en-US"/>
        </w:rPr>
        <w:t xml:space="preserve">. </w:t>
      </w:r>
      <w:r w:rsidR="00BF199F" w:rsidRPr="00D712D0">
        <w:rPr>
          <w:rFonts w:ascii="Times New Roman" w:hAnsi="Times New Roman" w:cs="Times New Roman"/>
          <w:sz w:val="24"/>
          <w:szCs w:val="24"/>
          <w:lang w:val="en-US"/>
        </w:rPr>
        <w:t xml:space="preserve">On one hand this will allow for the substitution of foreign debt with a sovereign one, on the other hand the government will have % to pay, which will increase total government spending on tier 2 system, raising it to the level of 193 bln AMD per </w:t>
      </w:r>
      <w:r w:rsidR="000D6C1C" w:rsidRPr="00D712D0">
        <w:rPr>
          <w:rFonts w:ascii="Times New Roman" w:hAnsi="Times New Roman" w:cs="Times New Roman"/>
          <w:sz w:val="24"/>
          <w:szCs w:val="24"/>
          <w:lang w:val="en-US"/>
        </w:rPr>
        <w:t>year</w:t>
      </w:r>
      <w:r w:rsidR="00BF199F" w:rsidRPr="00D712D0">
        <w:rPr>
          <w:rFonts w:ascii="Times New Roman" w:hAnsi="Times New Roman" w:cs="Times New Roman"/>
          <w:sz w:val="24"/>
          <w:szCs w:val="24"/>
          <w:lang w:val="en-US"/>
        </w:rPr>
        <w:t xml:space="preserve"> by year 2025.</w:t>
      </w:r>
    </w:p>
    <w:tbl>
      <w:tblPr>
        <w:tblStyle w:val="a8"/>
        <w:tblW w:w="0" w:type="auto"/>
        <w:tblInd w:w="425" w:type="dxa"/>
        <w:tblLook w:val="04A0" w:firstRow="1" w:lastRow="0" w:firstColumn="1" w:lastColumn="0" w:noHBand="0" w:noVBand="1"/>
      </w:tblPr>
      <w:tblGrid>
        <w:gridCol w:w="4866"/>
        <w:gridCol w:w="4776"/>
      </w:tblGrid>
      <w:tr w:rsidR="00BF199F" w:rsidRPr="00D712D0" w:rsidTr="00121951">
        <w:tc>
          <w:tcPr>
            <w:tcW w:w="4866" w:type="dxa"/>
          </w:tcPr>
          <w:p w:rsidR="00BF199F" w:rsidRPr="000D6C1C" w:rsidRDefault="004B33BF" w:rsidP="004B33BF">
            <w:pPr>
              <w:contextualSpacing/>
              <w:rPr>
                <w:rFonts w:ascii="Times New Roman" w:hAnsi="Times New Roman" w:cs="Times New Roman"/>
                <w:sz w:val="24"/>
                <w:szCs w:val="24"/>
                <w:lang w:val="en-US"/>
              </w:rPr>
            </w:pPr>
            <w:r>
              <w:rPr>
                <w:rFonts w:ascii="Times New Roman" w:hAnsi="Times New Roman" w:cs="Times New Roman"/>
                <w:bCs/>
                <w:sz w:val="24"/>
                <w:szCs w:val="24"/>
                <w:lang w:val="en-US"/>
              </w:rPr>
              <w:t>Graph</w:t>
            </w:r>
            <w:r w:rsidR="00BF199F" w:rsidRPr="000D6C1C">
              <w:rPr>
                <w:rFonts w:ascii="Times New Roman" w:hAnsi="Times New Roman" w:cs="Times New Roman"/>
                <w:bCs/>
                <w:sz w:val="24"/>
                <w:szCs w:val="24"/>
                <w:lang w:val="en-US"/>
              </w:rPr>
              <w:t>. 5.</w:t>
            </w:r>
            <w:r w:rsidR="00BF199F" w:rsidRPr="000D6C1C">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Government expenses on  tier </w:t>
            </w:r>
            <w:r w:rsidRPr="000D6C1C">
              <w:rPr>
                <w:rFonts w:ascii="Times New Roman" w:hAnsi="Times New Roman" w:cs="Times New Roman"/>
                <w:b/>
                <w:bCs/>
                <w:sz w:val="24"/>
                <w:szCs w:val="24"/>
                <w:lang w:val="en-US"/>
              </w:rPr>
              <w:t xml:space="preserve"> 2</w:t>
            </w:r>
            <w:r w:rsidR="00BF199F" w:rsidRPr="000D6C1C">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system</w:t>
            </w:r>
            <w:r w:rsidR="00BF199F" w:rsidRPr="000D6C1C">
              <w:rPr>
                <w:rFonts w:ascii="Times New Roman" w:hAnsi="Times New Roman" w:cs="Times New Roman"/>
                <w:b/>
                <w:bCs/>
                <w:sz w:val="24"/>
                <w:szCs w:val="24"/>
                <w:lang w:val="en-US"/>
              </w:rPr>
              <w:t xml:space="preserve"> % </w:t>
            </w:r>
            <w:r>
              <w:rPr>
                <w:rFonts w:ascii="Times New Roman" w:hAnsi="Times New Roman" w:cs="Times New Roman"/>
                <w:b/>
                <w:bCs/>
                <w:sz w:val="24"/>
                <w:szCs w:val="24"/>
                <w:lang w:val="en-US"/>
              </w:rPr>
              <w:t>of GDP</w:t>
            </w:r>
            <w:r w:rsidR="00BF199F" w:rsidRPr="000D6C1C">
              <w:rPr>
                <w:rFonts w:ascii="Times New Roman" w:hAnsi="Times New Roman" w:cs="Times New Roman"/>
                <w:b/>
                <w:bCs/>
                <w:sz w:val="24"/>
                <w:szCs w:val="24"/>
                <w:lang w:val="en-US"/>
              </w:rPr>
              <w:t>.</w:t>
            </w:r>
          </w:p>
        </w:tc>
        <w:tc>
          <w:tcPr>
            <w:tcW w:w="4776" w:type="dxa"/>
          </w:tcPr>
          <w:p w:rsidR="00BF199F" w:rsidRPr="000D6C1C" w:rsidRDefault="004B33BF" w:rsidP="004B33BF">
            <w:pPr>
              <w:contextualSpacing/>
              <w:rPr>
                <w:rFonts w:ascii="Times New Roman" w:hAnsi="Times New Roman" w:cs="Times New Roman"/>
                <w:sz w:val="24"/>
                <w:szCs w:val="24"/>
                <w:lang w:val="en-US"/>
              </w:rPr>
            </w:pPr>
            <w:r>
              <w:rPr>
                <w:rFonts w:ascii="Times New Roman" w:hAnsi="Times New Roman" w:cs="Times New Roman"/>
                <w:bCs/>
                <w:sz w:val="24"/>
                <w:szCs w:val="24"/>
                <w:lang w:val="en-US"/>
              </w:rPr>
              <w:t>Graph</w:t>
            </w:r>
            <w:r w:rsidR="00BF199F" w:rsidRPr="000D6C1C">
              <w:rPr>
                <w:rFonts w:ascii="Times New Roman" w:hAnsi="Times New Roman" w:cs="Times New Roman"/>
                <w:bCs/>
                <w:sz w:val="24"/>
                <w:szCs w:val="24"/>
                <w:lang w:val="en-US"/>
              </w:rPr>
              <w:t>. 6.</w:t>
            </w:r>
            <w:r w:rsidR="00BF199F" w:rsidRPr="000D6C1C">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Total government pension system related </w:t>
            </w:r>
            <w:r w:rsidR="000D6C1C">
              <w:rPr>
                <w:rFonts w:ascii="Times New Roman" w:hAnsi="Times New Roman" w:cs="Times New Roman"/>
                <w:b/>
                <w:bCs/>
                <w:sz w:val="24"/>
                <w:szCs w:val="24"/>
                <w:lang w:val="en-US"/>
              </w:rPr>
              <w:t>expenses</w:t>
            </w:r>
            <w:r w:rsidR="000D6C1C" w:rsidRPr="000D6C1C">
              <w:rPr>
                <w:rFonts w:ascii="Times New Roman" w:hAnsi="Times New Roman" w:cs="Times New Roman"/>
                <w:b/>
                <w:bCs/>
                <w:sz w:val="24"/>
                <w:szCs w:val="24"/>
                <w:lang w:val="en-US"/>
              </w:rPr>
              <w:t>,</w:t>
            </w:r>
            <w:r w:rsidR="000D6C1C">
              <w:rPr>
                <w:rFonts w:ascii="Times New Roman" w:hAnsi="Times New Roman" w:cs="Times New Roman"/>
                <w:b/>
                <w:bCs/>
                <w:sz w:val="24"/>
                <w:szCs w:val="24"/>
                <w:lang w:val="en-US"/>
              </w:rPr>
              <w:t xml:space="preserve"> mln</w:t>
            </w:r>
            <w:r w:rsidR="00BF199F" w:rsidRPr="000D6C1C">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AMD</w:t>
            </w:r>
            <w:r w:rsidR="00BF199F" w:rsidRPr="000D6C1C">
              <w:rPr>
                <w:rFonts w:ascii="Times New Roman" w:hAnsi="Times New Roman" w:cs="Times New Roman"/>
                <w:b/>
                <w:bCs/>
                <w:sz w:val="24"/>
                <w:szCs w:val="24"/>
                <w:lang w:val="en-US"/>
              </w:rPr>
              <w:t>.</w:t>
            </w:r>
          </w:p>
        </w:tc>
      </w:tr>
      <w:tr w:rsidR="00BF199F" w:rsidRPr="00D712D0" w:rsidTr="00121951">
        <w:tc>
          <w:tcPr>
            <w:tcW w:w="4866" w:type="dxa"/>
          </w:tcPr>
          <w:p w:rsidR="00BF199F" w:rsidRPr="00D712D0" w:rsidRDefault="00BF199F" w:rsidP="001A3044">
            <w:pPr>
              <w:spacing w:line="360" w:lineRule="auto"/>
              <w:jc w:val="both"/>
              <w:rPr>
                <w:rFonts w:ascii="Times New Roman" w:hAnsi="Times New Roman" w:cs="Times New Roman"/>
                <w:sz w:val="24"/>
                <w:szCs w:val="24"/>
              </w:rPr>
            </w:pPr>
            <w:r w:rsidRPr="00D712D0">
              <w:rPr>
                <w:rFonts w:ascii="Times New Roman" w:hAnsi="Times New Roman" w:cs="Times New Roman"/>
                <w:noProof/>
                <w:sz w:val="24"/>
                <w:szCs w:val="24"/>
                <w:lang w:val="ru-RU" w:eastAsia="ru-RU"/>
              </w:rPr>
              <w:drawing>
                <wp:inline distT="0" distB="0" distL="0" distR="0">
                  <wp:extent cx="2921660" cy="2739390"/>
                  <wp:effectExtent l="19050" t="0" r="12040" b="3810"/>
                  <wp:docPr id="5" name="Рисунок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776" w:type="dxa"/>
          </w:tcPr>
          <w:p w:rsidR="00BF199F" w:rsidRPr="00D712D0" w:rsidRDefault="00BF199F" w:rsidP="001A3044">
            <w:pPr>
              <w:spacing w:line="360" w:lineRule="auto"/>
              <w:jc w:val="both"/>
              <w:rPr>
                <w:rFonts w:ascii="Times New Roman" w:hAnsi="Times New Roman" w:cs="Times New Roman"/>
                <w:sz w:val="24"/>
                <w:szCs w:val="24"/>
              </w:rPr>
            </w:pPr>
            <w:r w:rsidRPr="00D712D0">
              <w:rPr>
                <w:rFonts w:ascii="Times New Roman" w:hAnsi="Times New Roman" w:cs="Times New Roman"/>
                <w:noProof/>
                <w:sz w:val="24"/>
                <w:szCs w:val="24"/>
                <w:lang w:val="ru-RU" w:eastAsia="ru-RU"/>
              </w:rPr>
              <w:drawing>
                <wp:inline distT="0" distB="0" distL="0" distR="0">
                  <wp:extent cx="2848508" cy="2739390"/>
                  <wp:effectExtent l="19050" t="0" r="28042" b="3810"/>
                  <wp:docPr id="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BF199F" w:rsidRPr="00D712D0" w:rsidTr="00121951">
        <w:tc>
          <w:tcPr>
            <w:tcW w:w="4866" w:type="dxa"/>
          </w:tcPr>
          <w:p w:rsidR="00BF199F" w:rsidRPr="00D712D0" w:rsidRDefault="004B33BF" w:rsidP="001A3044">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Source</w:t>
            </w:r>
            <w:r w:rsidR="00BF199F" w:rsidRPr="00D712D0">
              <w:rPr>
                <w:rFonts w:ascii="Times New Roman" w:eastAsia="Calibri" w:hAnsi="Times New Roman" w:cs="Times New Roman"/>
                <w:sz w:val="24"/>
                <w:szCs w:val="24"/>
              </w:rPr>
              <w:t>: ADS Draft Ministry of Finance of RA</w:t>
            </w:r>
          </w:p>
        </w:tc>
        <w:tc>
          <w:tcPr>
            <w:tcW w:w="4776" w:type="dxa"/>
          </w:tcPr>
          <w:p w:rsidR="00BF199F" w:rsidRPr="00D712D0" w:rsidRDefault="004B33BF" w:rsidP="001A3044">
            <w:pPr>
              <w:spacing w:line="360" w:lineRule="auto"/>
              <w:jc w:val="both"/>
              <w:rPr>
                <w:rFonts w:ascii="Times New Roman" w:hAnsi="Times New Roman" w:cs="Times New Roman"/>
                <w:sz w:val="24"/>
                <w:szCs w:val="24"/>
              </w:rPr>
            </w:pPr>
            <w:r>
              <w:rPr>
                <w:rFonts w:ascii="Times New Roman" w:eastAsia="Calibri" w:hAnsi="Times New Roman" w:cs="Times New Roman"/>
                <w:sz w:val="24"/>
                <w:szCs w:val="24"/>
              </w:rPr>
              <w:t>Source</w:t>
            </w:r>
            <w:r w:rsidR="00BF199F" w:rsidRPr="00D712D0">
              <w:rPr>
                <w:rFonts w:ascii="Times New Roman" w:eastAsia="Calibri" w:hAnsi="Times New Roman" w:cs="Times New Roman"/>
                <w:sz w:val="24"/>
                <w:szCs w:val="24"/>
              </w:rPr>
              <w:t>: ADS Draft Ministry of Finance of RA</w:t>
            </w:r>
          </w:p>
        </w:tc>
      </w:tr>
    </w:tbl>
    <w:p w:rsidR="004934A3" w:rsidRPr="00D712D0" w:rsidRDefault="00BF199F" w:rsidP="008C5359">
      <w:pPr>
        <w:spacing w:after="0" w:line="240" w:lineRule="auto"/>
        <w:ind w:firstLine="709"/>
        <w:jc w:val="both"/>
        <w:rPr>
          <w:rFonts w:ascii="Times New Roman" w:hAnsi="Times New Roman" w:cs="Times New Roman"/>
          <w:sz w:val="24"/>
          <w:szCs w:val="24"/>
          <w:lang w:val="en-US"/>
        </w:rPr>
      </w:pPr>
      <w:r w:rsidRPr="00D712D0">
        <w:rPr>
          <w:rFonts w:ascii="Times New Roman" w:hAnsi="Times New Roman" w:cs="Times New Roman"/>
          <w:sz w:val="24"/>
          <w:szCs w:val="24"/>
          <w:lang w:val="en-US"/>
        </w:rPr>
        <w:t xml:space="preserve">By implementing the reform, </w:t>
      </w:r>
      <w:r w:rsidR="006675D5" w:rsidRPr="00D712D0">
        <w:rPr>
          <w:rFonts w:ascii="Times New Roman" w:hAnsi="Times New Roman" w:cs="Times New Roman"/>
          <w:sz w:val="24"/>
          <w:szCs w:val="24"/>
          <w:lang w:val="en-US"/>
        </w:rPr>
        <w:t>government</w:t>
      </w:r>
      <w:r w:rsidRPr="00D712D0">
        <w:rPr>
          <w:rFonts w:ascii="Times New Roman" w:hAnsi="Times New Roman" w:cs="Times New Roman"/>
          <w:sz w:val="24"/>
          <w:szCs w:val="24"/>
          <w:lang w:val="en-US"/>
        </w:rPr>
        <w:t xml:space="preserve"> of RA hopes to lower the government deficit due to decrease in spending on the national pension system. Indeed the government spendin</w:t>
      </w:r>
      <w:r w:rsidR="004240E4" w:rsidRPr="00D712D0">
        <w:rPr>
          <w:rFonts w:ascii="Times New Roman" w:hAnsi="Times New Roman" w:cs="Times New Roman"/>
          <w:sz w:val="24"/>
          <w:szCs w:val="24"/>
          <w:lang w:val="en-US"/>
        </w:rPr>
        <w:t>g</w:t>
      </w:r>
      <w:r w:rsidRPr="00D712D0">
        <w:rPr>
          <w:rFonts w:ascii="Times New Roman" w:hAnsi="Times New Roman" w:cs="Times New Roman"/>
          <w:sz w:val="24"/>
          <w:szCs w:val="24"/>
          <w:lang w:val="en-US"/>
        </w:rPr>
        <w:t xml:space="preserve"> on tier two </w:t>
      </w:r>
      <w:r w:rsidR="000D6C1C" w:rsidRPr="00D712D0">
        <w:rPr>
          <w:rFonts w:ascii="Times New Roman" w:hAnsi="Times New Roman" w:cs="Times New Roman"/>
          <w:sz w:val="24"/>
          <w:szCs w:val="24"/>
          <w:lang w:val="en-US"/>
        </w:rPr>
        <w:t>systems</w:t>
      </w:r>
      <w:r w:rsidRPr="00D712D0">
        <w:rPr>
          <w:rFonts w:ascii="Times New Roman" w:hAnsi="Times New Roman" w:cs="Times New Roman"/>
          <w:sz w:val="24"/>
          <w:szCs w:val="24"/>
          <w:lang w:val="en-US"/>
        </w:rPr>
        <w:t xml:space="preserve"> will </w:t>
      </w:r>
      <w:r w:rsidR="004240E4" w:rsidRPr="00D712D0">
        <w:rPr>
          <w:rFonts w:ascii="Times New Roman" w:hAnsi="Times New Roman" w:cs="Times New Roman"/>
          <w:sz w:val="24"/>
          <w:szCs w:val="24"/>
          <w:lang w:val="en-US"/>
        </w:rPr>
        <w:t xml:space="preserve">take only 1.35% of GDP by year 2025, which is </w:t>
      </w:r>
      <w:r w:rsidR="006675D5" w:rsidRPr="00D712D0">
        <w:rPr>
          <w:rFonts w:ascii="Times New Roman" w:hAnsi="Times New Roman" w:cs="Times New Roman"/>
          <w:sz w:val="24"/>
          <w:szCs w:val="24"/>
          <w:lang w:val="en-US"/>
        </w:rPr>
        <w:t>considerably</w:t>
      </w:r>
      <w:r w:rsidR="004240E4" w:rsidRPr="00D712D0">
        <w:rPr>
          <w:rFonts w:ascii="Times New Roman" w:hAnsi="Times New Roman" w:cs="Times New Roman"/>
          <w:sz w:val="24"/>
          <w:szCs w:val="24"/>
          <w:lang w:val="en-US"/>
        </w:rPr>
        <w:t xml:space="preserve"> lower, compared to how much the government spends now. However, </w:t>
      </w:r>
      <w:r w:rsidR="006675D5" w:rsidRPr="00D712D0">
        <w:rPr>
          <w:rFonts w:ascii="Times New Roman" w:hAnsi="Times New Roman" w:cs="Times New Roman"/>
          <w:sz w:val="24"/>
          <w:szCs w:val="24"/>
          <w:lang w:val="en-US"/>
        </w:rPr>
        <w:t>the</w:t>
      </w:r>
      <w:r w:rsidR="004240E4" w:rsidRPr="00D712D0">
        <w:rPr>
          <w:rFonts w:ascii="Times New Roman" w:hAnsi="Times New Roman" w:cs="Times New Roman"/>
          <w:sz w:val="24"/>
          <w:szCs w:val="24"/>
          <w:lang w:val="en-US"/>
        </w:rPr>
        <w:t xml:space="preserve"> PAYG system will remain operational till year 2050, meaning that RA will have to increase «pension spending» </w:t>
      </w:r>
      <w:r w:rsidR="004934A3" w:rsidRPr="00D712D0">
        <w:rPr>
          <w:rFonts w:ascii="Times New Roman" w:hAnsi="Times New Roman" w:cs="Times New Roman"/>
          <w:sz w:val="24"/>
          <w:szCs w:val="24"/>
          <w:lang w:val="en-US"/>
        </w:rPr>
        <w:t>at least for 36 years. As a result, pension spending in year 2014 will amount to 5.2% of GDP, and 7.3% in year 2025.</w:t>
      </w:r>
      <w:r w:rsidR="004240E4" w:rsidRPr="00D712D0">
        <w:rPr>
          <w:rFonts w:ascii="Times New Roman" w:hAnsi="Times New Roman" w:cs="Times New Roman"/>
          <w:sz w:val="24"/>
          <w:szCs w:val="24"/>
          <w:lang w:val="en-US"/>
        </w:rPr>
        <w:t xml:space="preserve"> </w:t>
      </w:r>
      <w:r w:rsidR="004934A3" w:rsidRPr="00D712D0">
        <w:rPr>
          <w:rFonts w:ascii="Times New Roman" w:hAnsi="Times New Roman" w:cs="Times New Roman"/>
          <w:sz w:val="24"/>
          <w:szCs w:val="24"/>
          <w:lang w:val="en-US"/>
        </w:rPr>
        <w:t xml:space="preserve">This tendency will hold </w:t>
      </w:r>
      <w:r w:rsidR="000D6C1C" w:rsidRPr="00D712D0">
        <w:rPr>
          <w:rFonts w:ascii="Times New Roman" w:hAnsi="Times New Roman" w:cs="Times New Roman"/>
          <w:sz w:val="24"/>
          <w:szCs w:val="24"/>
          <w:lang w:val="en-US"/>
        </w:rPr>
        <w:t>until</w:t>
      </w:r>
      <w:r w:rsidR="004934A3" w:rsidRPr="00D712D0">
        <w:rPr>
          <w:rFonts w:ascii="Times New Roman" w:hAnsi="Times New Roman" w:cs="Times New Roman"/>
          <w:sz w:val="24"/>
          <w:szCs w:val="24"/>
          <w:lang w:val="en-US"/>
        </w:rPr>
        <w:t xml:space="preserve"> year 2050, when there will be no more new PAYG pensioners, meaning that the spending levels will start to decrease. Thus we have established that one of the goals, specifically the decreasing Gov. spending goal, is not reached at least in 36 years.</w:t>
      </w:r>
    </w:p>
    <w:p w:rsidR="002449FC" w:rsidRPr="00D712D0" w:rsidRDefault="005B13F9" w:rsidP="008C5359">
      <w:pPr>
        <w:spacing w:after="0" w:line="240" w:lineRule="auto"/>
        <w:ind w:firstLine="709"/>
        <w:jc w:val="both"/>
        <w:rPr>
          <w:rFonts w:ascii="Times New Roman" w:hAnsi="Times New Roman" w:cs="Times New Roman"/>
          <w:sz w:val="24"/>
          <w:szCs w:val="24"/>
          <w:lang w:val="en-US"/>
        </w:rPr>
      </w:pPr>
      <w:r w:rsidRPr="00D712D0">
        <w:rPr>
          <w:rFonts w:ascii="Times New Roman" w:hAnsi="Times New Roman" w:cs="Times New Roman"/>
          <w:sz w:val="24"/>
          <w:szCs w:val="24"/>
          <w:lang w:val="en-US"/>
        </w:rPr>
        <w:t xml:space="preserve">Let us consider the second goal of pension system- the flattened income curve over individual life time.  To calculate the possible replacement rate, we have chosen individuals born in year 1974 as a target group. We then </w:t>
      </w:r>
      <w:r w:rsidR="00974446" w:rsidRPr="00D712D0">
        <w:rPr>
          <w:rFonts w:ascii="Times New Roman" w:hAnsi="Times New Roman" w:cs="Times New Roman"/>
          <w:sz w:val="24"/>
          <w:szCs w:val="24"/>
          <w:lang w:val="en-US"/>
        </w:rPr>
        <w:t>made a set of basic assumptions such as:</w:t>
      </w:r>
      <w:r w:rsidRPr="00D712D0">
        <w:rPr>
          <w:rFonts w:ascii="Times New Roman" w:hAnsi="Times New Roman" w:cs="Times New Roman"/>
          <w:sz w:val="24"/>
          <w:szCs w:val="24"/>
          <w:lang w:val="en-US"/>
        </w:rPr>
        <w:t xml:space="preserve"> everyone in this age group is earning the average salary and gets a raise as soon a</w:t>
      </w:r>
      <w:r w:rsidR="00974446" w:rsidRPr="00D712D0">
        <w:rPr>
          <w:rFonts w:ascii="Times New Roman" w:hAnsi="Times New Roman" w:cs="Times New Roman"/>
          <w:sz w:val="24"/>
          <w:szCs w:val="24"/>
          <w:lang w:val="en-US"/>
        </w:rPr>
        <w:t>s the average salary increases, the government does not change the «support» rate and does not raise or lower the maximum support limit. Following those assumptions and using data from 2000-2025y interval, where 2013-2025 was the forecast data from ARMADS, we h</w:t>
      </w:r>
      <w:r w:rsidR="00B101B2" w:rsidRPr="00D712D0">
        <w:rPr>
          <w:rFonts w:ascii="Times New Roman" w:hAnsi="Times New Roman" w:cs="Times New Roman"/>
          <w:sz w:val="24"/>
          <w:szCs w:val="24"/>
          <w:lang w:val="en-US"/>
        </w:rPr>
        <w:t>ave been able to derive a linear</w:t>
      </w:r>
      <w:r w:rsidR="00974446" w:rsidRPr="00D712D0">
        <w:rPr>
          <w:rFonts w:ascii="Times New Roman" w:hAnsi="Times New Roman" w:cs="Times New Roman"/>
          <w:sz w:val="24"/>
          <w:szCs w:val="24"/>
          <w:lang w:val="en-US"/>
        </w:rPr>
        <w:t xml:space="preserve"> wage growth </w:t>
      </w:r>
      <w:r w:rsidR="00B101B2" w:rsidRPr="00D712D0">
        <w:rPr>
          <w:rFonts w:ascii="Times New Roman" w:hAnsi="Times New Roman" w:cs="Times New Roman"/>
          <w:sz w:val="24"/>
          <w:szCs w:val="24"/>
          <w:lang w:val="en-US"/>
        </w:rPr>
        <w:t>formula in time:</w:t>
      </w:r>
    </w:p>
    <w:p w:rsidR="00B101B2" w:rsidRPr="00D712D0" w:rsidRDefault="00B101B2" w:rsidP="008C5359">
      <w:pPr>
        <w:spacing w:after="0" w:line="240" w:lineRule="auto"/>
        <w:ind w:firstLine="709"/>
        <w:jc w:val="center"/>
        <w:rPr>
          <w:rStyle w:val="a6"/>
          <w:rFonts w:ascii="Times New Roman" w:hAnsi="Times New Roman"/>
          <w:lang w:val="en-US"/>
        </w:rPr>
      </w:pPr>
      <w:r w:rsidRPr="00D712D0">
        <w:rPr>
          <w:rFonts w:ascii="Times New Roman" w:hAnsi="Times New Roman" w:cs="Times New Roman"/>
          <w:sz w:val="24"/>
          <w:szCs w:val="24"/>
          <w:lang w:val="en-US"/>
        </w:rPr>
        <w:t>AW</w:t>
      </w:r>
      <w:r w:rsidR="001374F1" w:rsidRPr="00D712D0">
        <w:rPr>
          <w:rFonts w:ascii="Times New Roman" w:hAnsi="Times New Roman" w:cs="Times New Roman"/>
          <w:sz w:val="24"/>
          <w:szCs w:val="24"/>
          <w:lang w:val="en-US"/>
        </w:rPr>
        <w:t>y</w:t>
      </w:r>
      <w:r w:rsidRPr="00D712D0">
        <w:rPr>
          <w:rFonts w:ascii="Times New Roman" w:hAnsi="Times New Roman" w:cs="Times New Roman"/>
          <w:sz w:val="24"/>
          <w:szCs w:val="24"/>
          <w:lang w:val="en-US"/>
        </w:rPr>
        <w:t>=</w:t>
      </w:r>
      <w:r w:rsidR="001374F1" w:rsidRPr="00D712D0">
        <w:rPr>
          <w:rStyle w:val="a6"/>
          <w:rFonts w:ascii="Times New Roman" w:hAnsi="Times New Roman"/>
        </w:rPr>
        <w:t>24,309*</w:t>
      </w:r>
      <w:r w:rsidR="001374F1" w:rsidRPr="00D712D0">
        <w:rPr>
          <w:rStyle w:val="a6"/>
          <w:rFonts w:ascii="Times New Roman" w:hAnsi="Times New Roman"/>
          <w:lang w:val="en-US"/>
        </w:rPr>
        <w:t>Y</w:t>
      </w:r>
      <w:r w:rsidRPr="00D712D0">
        <w:rPr>
          <w:rStyle w:val="a6"/>
          <w:rFonts w:ascii="Times New Roman" w:hAnsi="Times New Roman"/>
        </w:rPr>
        <w:t xml:space="preserve"> - 48,841,209</w:t>
      </w:r>
    </w:p>
    <w:p w:rsidR="001374F1" w:rsidRDefault="001374F1" w:rsidP="008C5359">
      <w:pPr>
        <w:spacing w:after="0" w:line="240" w:lineRule="auto"/>
        <w:rPr>
          <w:rStyle w:val="a6"/>
          <w:rFonts w:ascii="Times New Roman" w:hAnsi="Times New Roman"/>
          <w:lang w:val="en-US"/>
        </w:rPr>
      </w:pPr>
      <w:r w:rsidRPr="00D712D0">
        <w:rPr>
          <w:rStyle w:val="a6"/>
          <w:rFonts w:ascii="Times New Roman" w:hAnsi="Times New Roman"/>
          <w:lang w:val="en-US"/>
        </w:rPr>
        <w:t>Here AWy- Average Wage in year Y, Y- the year in question.</w:t>
      </w:r>
    </w:p>
    <w:p w:rsidR="004B33BF" w:rsidRDefault="004B33BF" w:rsidP="008C5359">
      <w:pPr>
        <w:spacing w:after="0" w:line="240" w:lineRule="auto"/>
        <w:rPr>
          <w:rStyle w:val="a6"/>
          <w:rFonts w:ascii="Times New Roman" w:hAnsi="Times New Roman"/>
          <w:lang w:val="en-US"/>
        </w:rPr>
      </w:pPr>
    </w:p>
    <w:p w:rsidR="004B33BF" w:rsidRPr="00D712D0" w:rsidRDefault="004B33BF" w:rsidP="008C5359">
      <w:pPr>
        <w:spacing w:after="0" w:line="240" w:lineRule="auto"/>
        <w:rPr>
          <w:rStyle w:val="a6"/>
          <w:rFonts w:ascii="Times New Roman" w:hAnsi="Times New Roman"/>
          <w:lang w:val="en-US"/>
        </w:rPr>
      </w:pPr>
    </w:p>
    <w:p w:rsidR="004B33BF" w:rsidRDefault="001374F1" w:rsidP="008C5359">
      <w:pPr>
        <w:spacing w:after="0" w:line="240" w:lineRule="auto"/>
        <w:rPr>
          <w:rStyle w:val="a6"/>
          <w:rFonts w:ascii="Times New Roman" w:hAnsi="Times New Roman"/>
          <w:lang w:val="en-US"/>
        </w:rPr>
      </w:pPr>
      <w:r w:rsidRPr="00D712D0">
        <w:rPr>
          <w:rStyle w:val="a6"/>
          <w:rFonts w:ascii="Times New Roman" w:hAnsi="Times New Roman"/>
          <w:lang w:val="en-US"/>
        </w:rPr>
        <w:t>Then we get the following graphs:</w:t>
      </w:r>
    </w:p>
    <w:p w:rsidR="004B33BF" w:rsidRPr="00D712D0" w:rsidRDefault="004B33BF" w:rsidP="001374F1">
      <w:pPr>
        <w:spacing w:after="0" w:line="360" w:lineRule="auto"/>
        <w:rPr>
          <w:rStyle w:val="a6"/>
          <w:rFonts w:ascii="Times New Roman" w:hAnsi="Times New Roman"/>
          <w:lang w:val="en-US"/>
        </w:rPr>
      </w:pPr>
    </w:p>
    <w:tbl>
      <w:tblPr>
        <w:tblStyle w:val="a8"/>
        <w:tblW w:w="0" w:type="auto"/>
        <w:tblLook w:val="04A0" w:firstRow="1" w:lastRow="0" w:firstColumn="1" w:lastColumn="0" w:noHBand="0" w:noVBand="1"/>
      </w:tblPr>
      <w:tblGrid>
        <w:gridCol w:w="4806"/>
        <w:gridCol w:w="4806"/>
      </w:tblGrid>
      <w:tr w:rsidR="001374F1" w:rsidRPr="00D712D0" w:rsidTr="00A94194">
        <w:tc>
          <w:tcPr>
            <w:tcW w:w="4621" w:type="dxa"/>
          </w:tcPr>
          <w:p w:rsidR="001374F1" w:rsidRPr="004B33BF" w:rsidRDefault="001374F1" w:rsidP="004B33BF">
            <w:pPr>
              <w:jc w:val="both"/>
              <w:rPr>
                <w:rStyle w:val="a6"/>
                <w:rFonts w:ascii="Times New Roman" w:hAnsi="Times New Roman"/>
                <w:lang w:val="en-US"/>
              </w:rPr>
            </w:pPr>
            <w:r w:rsidRPr="00D712D0">
              <w:rPr>
                <w:rFonts w:ascii="Times New Roman" w:hAnsi="Times New Roman" w:cs="Times New Roman"/>
                <w:bCs/>
                <w:color w:val="000000"/>
                <w:sz w:val="24"/>
                <w:szCs w:val="24"/>
                <w:shd w:val="clear" w:color="auto" w:fill="FFFFFF"/>
                <w:lang w:val="ru-RU"/>
              </w:rPr>
              <w:t>Рис</w:t>
            </w:r>
            <w:r w:rsidRPr="000D6C1C">
              <w:rPr>
                <w:rFonts w:ascii="Times New Roman" w:hAnsi="Times New Roman" w:cs="Times New Roman"/>
                <w:bCs/>
                <w:color w:val="000000"/>
                <w:sz w:val="24"/>
                <w:szCs w:val="24"/>
                <w:shd w:val="clear" w:color="auto" w:fill="FFFFFF"/>
                <w:lang w:val="en-US"/>
              </w:rPr>
              <w:t>. 7.</w:t>
            </w:r>
            <w:r w:rsidRPr="000D6C1C">
              <w:rPr>
                <w:rFonts w:ascii="Times New Roman" w:hAnsi="Times New Roman" w:cs="Times New Roman"/>
                <w:b/>
                <w:bCs/>
                <w:color w:val="000000"/>
                <w:sz w:val="24"/>
                <w:szCs w:val="24"/>
                <w:shd w:val="clear" w:color="auto" w:fill="FFFFFF"/>
                <w:lang w:val="en-US"/>
              </w:rPr>
              <w:t xml:space="preserve"> </w:t>
            </w:r>
            <w:r w:rsidR="004B33BF">
              <w:rPr>
                <w:rFonts w:ascii="Times New Roman" w:hAnsi="Times New Roman" w:cs="Times New Roman"/>
                <w:b/>
                <w:bCs/>
                <w:color w:val="000000"/>
                <w:sz w:val="24"/>
                <w:szCs w:val="24"/>
                <w:shd w:val="clear" w:color="auto" w:fill="FFFFFF"/>
                <w:lang w:val="en-US"/>
              </w:rPr>
              <w:t>Average wage, thsd AMD</w:t>
            </w:r>
          </w:p>
        </w:tc>
        <w:tc>
          <w:tcPr>
            <w:tcW w:w="4621" w:type="dxa"/>
          </w:tcPr>
          <w:p w:rsidR="001374F1" w:rsidRPr="000D6C1C" w:rsidRDefault="001374F1" w:rsidP="004B33BF">
            <w:pPr>
              <w:jc w:val="both"/>
              <w:rPr>
                <w:rStyle w:val="a6"/>
                <w:rFonts w:ascii="Times New Roman" w:hAnsi="Times New Roman"/>
                <w:lang w:val="en-US"/>
              </w:rPr>
            </w:pPr>
            <w:r w:rsidRPr="00D712D0">
              <w:rPr>
                <w:rStyle w:val="a6"/>
                <w:rFonts w:ascii="Times New Roman" w:hAnsi="Times New Roman"/>
                <w:lang w:val="ru-RU"/>
              </w:rPr>
              <w:t>Рис</w:t>
            </w:r>
            <w:r w:rsidRPr="000D6C1C">
              <w:rPr>
                <w:rStyle w:val="a6"/>
                <w:rFonts w:ascii="Times New Roman" w:hAnsi="Times New Roman"/>
                <w:lang w:val="en-US"/>
              </w:rPr>
              <w:t xml:space="preserve">. 8. </w:t>
            </w:r>
            <w:r w:rsidR="004B33BF">
              <w:rPr>
                <w:rStyle w:val="a6"/>
                <w:rFonts w:ascii="Times New Roman" w:hAnsi="Times New Roman"/>
                <w:b/>
                <w:lang w:val="en-US"/>
              </w:rPr>
              <w:t>Monthly inputs into individual accounts</w:t>
            </w:r>
            <w:r w:rsidRPr="000D6C1C">
              <w:rPr>
                <w:rStyle w:val="a6"/>
                <w:rFonts w:ascii="Times New Roman" w:hAnsi="Times New Roman"/>
                <w:b/>
                <w:lang w:val="en-US"/>
              </w:rPr>
              <w:t xml:space="preserve">, </w:t>
            </w:r>
            <w:r w:rsidR="004B33BF">
              <w:rPr>
                <w:rStyle w:val="a6"/>
                <w:rFonts w:ascii="Times New Roman" w:hAnsi="Times New Roman"/>
                <w:b/>
                <w:lang w:val="en-US"/>
              </w:rPr>
              <w:t>thsd AMD</w:t>
            </w:r>
            <w:r w:rsidRPr="000D6C1C">
              <w:rPr>
                <w:rStyle w:val="a6"/>
                <w:rFonts w:ascii="Times New Roman" w:hAnsi="Times New Roman"/>
                <w:b/>
                <w:lang w:val="en-US"/>
              </w:rPr>
              <w:t>.</w:t>
            </w:r>
          </w:p>
        </w:tc>
      </w:tr>
      <w:tr w:rsidR="001374F1" w:rsidRPr="00D712D0" w:rsidTr="00A94194">
        <w:tc>
          <w:tcPr>
            <w:tcW w:w="4621" w:type="dxa"/>
          </w:tcPr>
          <w:p w:rsidR="001374F1" w:rsidRPr="00D712D0" w:rsidRDefault="001374F1" w:rsidP="001A3044">
            <w:pPr>
              <w:spacing w:line="360" w:lineRule="auto"/>
              <w:jc w:val="both"/>
              <w:rPr>
                <w:rStyle w:val="a6"/>
                <w:rFonts w:ascii="Times New Roman" w:hAnsi="Times New Roman"/>
                <w:lang w:val="ru-RU"/>
              </w:rPr>
            </w:pPr>
            <w:r w:rsidRPr="00D712D0">
              <w:rPr>
                <w:rStyle w:val="a6"/>
                <w:rFonts w:ascii="Times New Roman" w:hAnsi="Times New Roman"/>
                <w:noProof/>
                <w:lang w:val="ru-RU" w:eastAsia="ru-RU"/>
              </w:rPr>
              <w:lastRenderedPageBreak/>
              <w:drawing>
                <wp:inline distT="0" distB="0" distL="0" distR="0">
                  <wp:extent cx="2871444" cy="2771521"/>
                  <wp:effectExtent l="19050" t="0" r="24156" b="0"/>
                  <wp:docPr id="14"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621" w:type="dxa"/>
          </w:tcPr>
          <w:p w:rsidR="001374F1" w:rsidRPr="00D712D0" w:rsidRDefault="001374F1" w:rsidP="001A3044">
            <w:pPr>
              <w:spacing w:line="360" w:lineRule="auto"/>
              <w:jc w:val="both"/>
              <w:rPr>
                <w:rStyle w:val="a6"/>
                <w:rFonts w:ascii="Times New Roman" w:hAnsi="Times New Roman"/>
                <w:lang w:val="ru-RU"/>
              </w:rPr>
            </w:pPr>
            <w:r w:rsidRPr="00D712D0">
              <w:rPr>
                <w:rStyle w:val="a6"/>
                <w:rFonts w:ascii="Times New Roman" w:hAnsi="Times New Roman"/>
                <w:noProof/>
                <w:lang w:val="ru-RU" w:eastAsia="ru-RU"/>
              </w:rPr>
              <w:drawing>
                <wp:inline distT="0" distB="0" distL="0" distR="0">
                  <wp:extent cx="2867634" cy="2771521"/>
                  <wp:effectExtent l="19050" t="0" r="27966" b="0"/>
                  <wp:docPr id="10"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1374F1" w:rsidRPr="00D712D0" w:rsidTr="00A94194">
        <w:tc>
          <w:tcPr>
            <w:tcW w:w="4621" w:type="dxa"/>
          </w:tcPr>
          <w:p w:rsidR="001374F1" w:rsidRPr="00D712D0" w:rsidRDefault="004B33BF" w:rsidP="001A3044">
            <w:pPr>
              <w:rPr>
                <w:rFonts w:ascii="Times New Roman" w:eastAsia="Calibri" w:hAnsi="Times New Roman" w:cs="Times New Roman"/>
                <w:sz w:val="24"/>
                <w:szCs w:val="24"/>
                <w:lang w:val="hy-AM"/>
              </w:rPr>
            </w:pPr>
            <w:r>
              <w:rPr>
                <w:rFonts w:ascii="Times New Roman" w:eastAsia="Calibri" w:hAnsi="Times New Roman" w:cs="Times New Roman"/>
                <w:sz w:val="24"/>
                <w:szCs w:val="24"/>
              </w:rPr>
              <w:t>Source</w:t>
            </w:r>
            <w:r w:rsidR="001374F1" w:rsidRPr="00D712D0">
              <w:rPr>
                <w:rFonts w:ascii="Times New Roman" w:eastAsia="Calibri" w:hAnsi="Times New Roman" w:cs="Times New Roman"/>
                <w:sz w:val="24"/>
                <w:szCs w:val="24"/>
              </w:rPr>
              <w:t>: ADS Draft Ministry of Finance of RA</w:t>
            </w:r>
            <w:r w:rsidR="001374F1" w:rsidRPr="00D712D0">
              <w:rPr>
                <w:rFonts w:ascii="Times New Roman" w:eastAsia="Calibri" w:hAnsi="Times New Roman" w:cs="Times New Roman"/>
                <w:sz w:val="24"/>
                <w:szCs w:val="24"/>
                <w:lang w:val="hy-AM"/>
              </w:rPr>
              <w:t>, National Statistic Service of RA</w:t>
            </w:r>
          </w:p>
          <w:p w:rsidR="001374F1" w:rsidRPr="00D712D0" w:rsidRDefault="001374F1" w:rsidP="001A3044">
            <w:pPr>
              <w:spacing w:line="360" w:lineRule="auto"/>
              <w:jc w:val="both"/>
              <w:rPr>
                <w:rStyle w:val="a6"/>
                <w:rFonts w:ascii="Times New Roman" w:hAnsi="Times New Roman"/>
              </w:rPr>
            </w:pPr>
          </w:p>
        </w:tc>
        <w:tc>
          <w:tcPr>
            <w:tcW w:w="4621" w:type="dxa"/>
          </w:tcPr>
          <w:p w:rsidR="001374F1" w:rsidRPr="00D712D0" w:rsidRDefault="004B33BF" w:rsidP="001A3044">
            <w:pPr>
              <w:rPr>
                <w:rFonts w:ascii="Times New Roman" w:eastAsia="Calibri" w:hAnsi="Times New Roman" w:cs="Times New Roman"/>
                <w:sz w:val="24"/>
                <w:szCs w:val="24"/>
                <w:lang w:val="hy-AM"/>
              </w:rPr>
            </w:pPr>
            <w:r>
              <w:rPr>
                <w:rFonts w:ascii="Times New Roman" w:eastAsia="Calibri" w:hAnsi="Times New Roman" w:cs="Times New Roman"/>
                <w:sz w:val="24"/>
                <w:szCs w:val="24"/>
              </w:rPr>
              <w:t>Source</w:t>
            </w:r>
            <w:r w:rsidR="001374F1" w:rsidRPr="00D712D0">
              <w:rPr>
                <w:rFonts w:ascii="Times New Roman" w:eastAsia="Calibri" w:hAnsi="Times New Roman" w:cs="Times New Roman"/>
                <w:sz w:val="24"/>
                <w:szCs w:val="24"/>
              </w:rPr>
              <w:t>: ADS Draft Ministry of Finance of RA</w:t>
            </w:r>
            <w:r w:rsidR="001374F1" w:rsidRPr="00D712D0">
              <w:rPr>
                <w:rFonts w:ascii="Times New Roman" w:eastAsia="Calibri" w:hAnsi="Times New Roman" w:cs="Times New Roman"/>
                <w:sz w:val="24"/>
                <w:szCs w:val="24"/>
                <w:lang w:val="hy-AM"/>
              </w:rPr>
              <w:t>, National Statistic Service of RA</w:t>
            </w:r>
          </w:p>
          <w:p w:rsidR="001374F1" w:rsidRPr="00D712D0" w:rsidRDefault="001374F1" w:rsidP="001A3044">
            <w:pPr>
              <w:spacing w:line="360" w:lineRule="auto"/>
              <w:jc w:val="both"/>
              <w:rPr>
                <w:rStyle w:val="a6"/>
                <w:rFonts w:ascii="Times New Roman" w:hAnsi="Times New Roman"/>
              </w:rPr>
            </w:pPr>
          </w:p>
        </w:tc>
      </w:tr>
    </w:tbl>
    <w:p w:rsidR="00A94194" w:rsidRPr="00D712D0" w:rsidRDefault="00A94194" w:rsidP="008C5359">
      <w:pPr>
        <w:spacing w:after="0" w:line="240" w:lineRule="auto"/>
        <w:jc w:val="both"/>
        <w:rPr>
          <w:rStyle w:val="a6"/>
          <w:rFonts w:ascii="Times New Roman" w:hAnsi="Times New Roman"/>
          <w:lang w:val="en-US"/>
        </w:rPr>
      </w:pPr>
    </w:p>
    <w:p w:rsidR="001374F1" w:rsidRPr="00D712D0" w:rsidRDefault="00A94194" w:rsidP="008C5359">
      <w:pPr>
        <w:spacing w:after="0" w:line="240" w:lineRule="auto"/>
        <w:ind w:firstLine="708"/>
        <w:rPr>
          <w:rStyle w:val="a6"/>
          <w:rFonts w:ascii="Times New Roman" w:hAnsi="Times New Roman"/>
        </w:rPr>
      </w:pPr>
      <w:r w:rsidRPr="00D712D0">
        <w:rPr>
          <w:rStyle w:val="a6"/>
          <w:rFonts w:ascii="Times New Roman" w:hAnsi="Times New Roman"/>
          <w:lang w:val="en-US"/>
        </w:rPr>
        <w:t>According to our calculations, average wage in year 2061 will be around 1,2 mln amd per month</w:t>
      </w:r>
      <w:r w:rsidR="00B939C5" w:rsidRPr="00D712D0">
        <w:rPr>
          <w:rStyle w:val="a6"/>
          <w:rFonts w:ascii="Times New Roman" w:hAnsi="Times New Roman"/>
          <w:lang w:val="en-US"/>
        </w:rPr>
        <w:t xml:space="preserve">. </w:t>
      </w:r>
      <w:r w:rsidR="00B939C5" w:rsidRPr="00D712D0">
        <w:rPr>
          <w:rStyle w:val="a6"/>
          <w:rFonts w:ascii="Times New Roman" w:hAnsi="Times New Roman"/>
        </w:rPr>
        <w:t>The government support has a limit</w:t>
      </w:r>
      <w:r w:rsidR="007B0942" w:rsidRPr="00D712D0">
        <w:rPr>
          <w:rStyle w:val="a6"/>
          <w:rFonts w:ascii="Times New Roman" w:hAnsi="Times New Roman"/>
        </w:rPr>
        <w:t>, so in aproximately in year 2029 the</w:t>
      </w:r>
      <w:r w:rsidR="00357D9F" w:rsidRPr="00D712D0">
        <w:rPr>
          <w:rStyle w:val="a6"/>
          <w:rFonts w:ascii="Times New Roman" w:hAnsi="Times New Roman"/>
        </w:rPr>
        <w:t xml:space="preserve"> private investment</w:t>
      </w:r>
      <w:r w:rsidR="007B0942" w:rsidRPr="00D712D0">
        <w:rPr>
          <w:rStyle w:val="a6"/>
          <w:rFonts w:ascii="Times New Roman" w:hAnsi="Times New Roman"/>
        </w:rPr>
        <w:t>s</w:t>
      </w:r>
      <w:r w:rsidR="00357D9F" w:rsidRPr="00D712D0">
        <w:rPr>
          <w:rStyle w:val="a6"/>
          <w:rFonts w:ascii="Times New Roman" w:hAnsi="Times New Roman"/>
        </w:rPr>
        <w:t xml:space="preserve"> will on average be much grater. As it was already mentioned above, we are making an assumption, that the pension fund managers will recieve both public and private investments/savings in the beggining of the year, and invest them</w:t>
      </w:r>
      <w:r w:rsidR="00B939C5" w:rsidRPr="00D712D0">
        <w:rPr>
          <w:rStyle w:val="a6"/>
          <w:rFonts w:ascii="Times New Roman" w:hAnsi="Times New Roman"/>
        </w:rPr>
        <w:t xml:space="preserve"> </w:t>
      </w:r>
      <w:r w:rsidR="00B939C5" w:rsidRPr="00D712D0">
        <w:rPr>
          <w:rStyle w:val="a6"/>
          <w:rFonts w:ascii="Times New Roman" w:hAnsi="Times New Roman"/>
          <w:lang w:val="en-US"/>
        </w:rPr>
        <w:t xml:space="preserve"> </w:t>
      </w:r>
      <w:r w:rsidR="00357D9F" w:rsidRPr="00D712D0">
        <w:rPr>
          <w:rStyle w:val="a6"/>
          <w:rFonts w:ascii="Times New Roman" w:hAnsi="Times New Roman"/>
        </w:rPr>
        <w:t>in</w:t>
      </w:r>
      <w:r w:rsidR="00A17C8F" w:rsidRPr="00D712D0">
        <w:rPr>
          <w:rStyle w:val="a6"/>
          <w:rFonts w:ascii="Times New Roman" w:hAnsi="Times New Roman"/>
        </w:rPr>
        <w:t xml:space="preserve"> government</w:t>
      </w:r>
      <w:r w:rsidR="00357D9F" w:rsidRPr="00D712D0">
        <w:rPr>
          <w:rStyle w:val="a6"/>
          <w:rFonts w:ascii="Times New Roman" w:hAnsi="Times New Roman"/>
        </w:rPr>
        <w:t xml:space="preserve"> bond</w:t>
      </w:r>
      <w:r w:rsidR="00A17C8F" w:rsidRPr="00D712D0">
        <w:rPr>
          <w:rStyle w:val="a6"/>
          <w:rFonts w:ascii="Times New Roman" w:hAnsi="Times New Roman"/>
        </w:rPr>
        <w:t>s</w:t>
      </w:r>
      <w:r w:rsidR="00357D9F" w:rsidRPr="00D712D0">
        <w:rPr>
          <w:rStyle w:val="a6"/>
          <w:rFonts w:ascii="Times New Roman" w:hAnsi="Times New Roman"/>
        </w:rPr>
        <w:t xml:space="preserve"> with 25 years</w:t>
      </w:r>
      <w:r w:rsidR="00C5320D" w:rsidRPr="00D712D0">
        <w:rPr>
          <w:rStyle w:val="a6"/>
          <w:rFonts w:ascii="Times New Roman" w:hAnsi="Times New Roman"/>
        </w:rPr>
        <w:t xml:space="preserve"> till</w:t>
      </w:r>
      <w:r w:rsidR="00357D9F" w:rsidRPr="00D712D0">
        <w:rPr>
          <w:rStyle w:val="a6"/>
          <w:rFonts w:ascii="Times New Roman" w:hAnsi="Times New Roman"/>
        </w:rPr>
        <w:t xml:space="preserve"> maturity.</w:t>
      </w:r>
    </w:p>
    <w:p w:rsidR="001374F1" w:rsidRPr="00D712D0" w:rsidRDefault="007B0942" w:rsidP="008C5359">
      <w:pPr>
        <w:spacing w:after="0" w:line="240" w:lineRule="auto"/>
        <w:jc w:val="both"/>
        <w:rPr>
          <w:rStyle w:val="a6"/>
          <w:rFonts w:ascii="Times New Roman" w:hAnsi="Times New Roman"/>
        </w:rPr>
      </w:pPr>
      <w:r w:rsidRPr="00D712D0">
        <w:rPr>
          <w:rStyle w:val="a6"/>
          <w:rFonts w:ascii="Times New Roman" w:hAnsi="Times New Roman"/>
        </w:rPr>
        <w:tab/>
        <w:t xml:space="preserve">This will greatly increase the demand for government bonds, lowering the intrest rate, which will remain in the interval of  7.2%-7.6% after year 2021. Note that the rate mentioned above is also an assumed rate, and the actual rate may be much different after year 2025. </w:t>
      </w:r>
    </w:p>
    <w:p w:rsidR="004651E2" w:rsidRPr="00D712D0" w:rsidRDefault="004651E2" w:rsidP="001374F1">
      <w:pPr>
        <w:spacing w:after="0" w:line="360" w:lineRule="auto"/>
        <w:rPr>
          <w:rStyle w:val="a6"/>
          <w:rFonts w:ascii="Times New Roman" w:hAnsi="Times New Roman"/>
        </w:rPr>
      </w:pPr>
      <w:r w:rsidRPr="00D712D0">
        <w:rPr>
          <w:rStyle w:val="a6"/>
          <w:rFonts w:ascii="Times New Roman" w:hAnsi="Times New Roman"/>
        </w:rPr>
        <w:t>Table 6</w:t>
      </w:r>
    </w:p>
    <w:tbl>
      <w:tblPr>
        <w:tblStyle w:val="LightShading-Accent11"/>
        <w:tblW w:w="9571" w:type="dxa"/>
        <w:tblLook w:val="04A0" w:firstRow="1" w:lastRow="0" w:firstColumn="1" w:lastColumn="0" w:noHBand="0" w:noVBand="1"/>
      </w:tblPr>
      <w:tblGrid>
        <w:gridCol w:w="2700"/>
        <w:gridCol w:w="876"/>
        <w:gridCol w:w="876"/>
        <w:gridCol w:w="876"/>
        <w:gridCol w:w="876"/>
        <w:gridCol w:w="766"/>
        <w:gridCol w:w="766"/>
        <w:gridCol w:w="766"/>
        <w:gridCol w:w="1109"/>
      </w:tblGrid>
      <w:tr w:rsidR="004651E2" w:rsidRPr="00D712D0" w:rsidTr="001A304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4651E2" w:rsidRPr="00D712D0" w:rsidRDefault="004651E2" w:rsidP="001A3044">
            <w:pPr>
              <w:jc w:val="center"/>
              <w:rPr>
                <w:rFonts w:ascii="Times New Roman" w:eastAsia="Times New Roman" w:hAnsi="Times New Roman" w:cs="Times New Roman"/>
                <w:color w:val="auto"/>
                <w:sz w:val="24"/>
                <w:szCs w:val="24"/>
                <w:lang w:val="ru-RU" w:eastAsia="ru-RU"/>
              </w:rPr>
            </w:pPr>
          </w:p>
        </w:tc>
        <w:tc>
          <w:tcPr>
            <w:tcW w:w="866" w:type="dxa"/>
            <w:noWrap/>
            <w:hideMark/>
          </w:tcPr>
          <w:p w:rsidR="004651E2" w:rsidRPr="00D712D0" w:rsidRDefault="004651E2" w:rsidP="001A304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ru-RU" w:eastAsia="ru-RU"/>
              </w:rPr>
            </w:pPr>
            <w:r w:rsidRPr="00D712D0">
              <w:rPr>
                <w:rFonts w:ascii="Times New Roman" w:eastAsia="Times New Roman" w:hAnsi="Times New Roman" w:cs="Times New Roman"/>
                <w:color w:val="auto"/>
                <w:sz w:val="24"/>
                <w:szCs w:val="24"/>
                <w:lang w:val="ru-RU" w:eastAsia="ru-RU"/>
              </w:rPr>
              <w:t>2014</w:t>
            </w:r>
          </w:p>
        </w:tc>
        <w:tc>
          <w:tcPr>
            <w:tcW w:w="866" w:type="dxa"/>
            <w:noWrap/>
            <w:hideMark/>
          </w:tcPr>
          <w:p w:rsidR="004651E2" w:rsidRPr="00D712D0" w:rsidRDefault="004651E2" w:rsidP="001A304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ru-RU" w:eastAsia="ru-RU"/>
              </w:rPr>
            </w:pPr>
            <w:r w:rsidRPr="00D712D0">
              <w:rPr>
                <w:rFonts w:ascii="Times New Roman" w:eastAsia="Times New Roman" w:hAnsi="Times New Roman" w:cs="Times New Roman"/>
                <w:color w:val="auto"/>
                <w:sz w:val="24"/>
                <w:szCs w:val="24"/>
                <w:lang w:val="ru-RU" w:eastAsia="ru-RU"/>
              </w:rPr>
              <w:t>2015</w:t>
            </w:r>
          </w:p>
        </w:tc>
        <w:tc>
          <w:tcPr>
            <w:tcW w:w="866" w:type="dxa"/>
            <w:noWrap/>
            <w:hideMark/>
          </w:tcPr>
          <w:p w:rsidR="004651E2" w:rsidRPr="00D712D0" w:rsidRDefault="004651E2" w:rsidP="001A304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ru-RU" w:eastAsia="ru-RU"/>
              </w:rPr>
            </w:pPr>
            <w:r w:rsidRPr="00D712D0">
              <w:rPr>
                <w:rFonts w:ascii="Times New Roman" w:eastAsia="Times New Roman" w:hAnsi="Times New Roman" w:cs="Times New Roman"/>
                <w:color w:val="auto"/>
                <w:sz w:val="24"/>
                <w:szCs w:val="24"/>
                <w:lang w:val="ru-RU" w:eastAsia="ru-RU"/>
              </w:rPr>
              <w:t>2016</w:t>
            </w:r>
          </w:p>
        </w:tc>
        <w:tc>
          <w:tcPr>
            <w:tcW w:w="866" w:type="dxa"/>
            <w:noWrap/>
            <w:hideMark/>
          </w:tcPr>
          <w:p w:rsidR="004651E2" w:rsidRPr="00D712D0" w:rsidRDefault="004651E2" w:rsidP="001A304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ru-RU" w:eastAsia="ru-RU"/>
              </w:rPr>
            </w:pPr>
            <w:r w:rsidRPr="00D712D0">
              <w:rPr>
                <w:rFonts w:ascii="Times New Roman" w:eastAsia="Times New Roman" w:hAnsi="Times New Roman" w:cs="Times New Roman"/>
                <w:color w:val="auto"/>
                <w:sz w:val="24"/>
                <w:szCs w:val="24"/>
                <w:lang w:val="ru-RU" w:eastAsia="ru-RU"/>
              </w:rPr>
              <w:t>2017</w:t>
            </w:r>
          </w:p>
        </w:tc>
        <w:tc>
          <w:tcPr>
            <w:tcW w:w="766" w:type="dxa"/>
            <w:noWrap/>
            <w:hideMark/>
          </w:tcPr>
          <w:p w:rsidR="004651E2" w:rsidRPr="00D712D0" w:rsidRDefault="004651E2" w:rsidP="001A304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ru-RU" w:eastAsia="ru-RU"/>
              </w:rPr>
            </w:pPr>
            <w:r w:rsidRPr="00D712D0">
              <w:rPr>
                <w:rFonts w:ascii="Times New Roman" w:eastAsia="Times New Roman" w:hAnsi="Times New Roman" w:cs="Times New Roman"/>
                <w:color w:val="auto"/>
                <w:sz w:val="24"/>
                <w:szCs w:val="24"/>
                <w:lang w:val="ru-RU" w:eastAsia="ru-RU"/>
              </w:rPr>
              <w:t>2018</w:t>
            </w:r>
          </w:p>
        </w:tc>
        <w:tc>
          <w:tcPr>
            <w:tcW w:w="766" w:type="dxa"/>
            <w:noWrap/>
            <w:hideMark/>
          </w:tcPr>
          <w:p w:rsidR="004651E2" w:rsidRPr="00D712D0" w:rsidRDefault="004651E2" w:rsidP="001A304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ru-RU" w:eastAsia="ru-RU"/>
              </w:rPr>
            </w:pPr>
            <w:r w:rsidRPr="00D712D0">
              <w:rPr>
                <w:rFonts w:ascii="Times New Roman" w:eastAsia="Times New Roman" w:hAnsi="Times New Roman" w:cs="Times New Roman"/>
                <w:color w:val="auto"/>
                <w:sz w:val="24"/>
                <w:szCs w:val="24"/>
                <w:lang w:val="ru-RU" w:eastAsia="ru-RU"/>
              </w:rPr>
              <w:t>2019</w:t>
            </w:r>
          </w:p>
        </w:tc>
        <w:tc>
          <w:tcPr>
            <w:tcW w:w="766" w:type="dxa"/>
            <w:noWrap/>
            <w:hideMark/>
          </w:tcPr>
          <w:p w:rsidR="004651E2" w:rsidRPr="00D712D0" w:rsidRDefault="004651E2" w:rsidP="001A304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ru-RU" w:eastAsia="ru-RU"/>
              </w:rPr>
            </w:pPr>
            <w:r w:rsidRPr="00D712D0">
              <w:rPr>
                <w:rFonts w:ascii="Times New Roman" w:eastAsia="Times New Roman" w:hAnsi="Times New Roman" w:cs="Times New Roman"/>
                <w:color w:val="auto"/>
                <w:sz w:val="24"/>
                <w:szCs w:val="24"/>
                <w:lang w:val="ru-RU" w:eastAsia="ru-RU"/>
              </w:rPr>
              <w:t>2020</w:t>
            </w:r>
          </w:p>
        </w:tc>
        <w:tc>
          <w:tcPr>
            <w:tcW w:w="1109" w:type="dxa"/>
            <w:noWrap/>
            <w:hideMark/>
          </w:tcPr>
          <w:p w:rsidR="004651E2" w:rsidRPr="00D712D0" w:rsidRDefault="004651E2" w:rsidP="001A304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val="ru-RU" w:eastAsia="ru-RU"/>
              </w:rPr>
            </w:pPr>
            <w:r w:rsidRPr="00D712D0">
              <w:rPr>
                <w:rFonts w:ascii="Times New Roman" w:eastAsia="Times New Roman" w:hAnsi="Times New Roman" w:cs="Times New Roman"/>
                <w:color w:val="auto"/>
                <w:sz w:val="24"/>
                <w:szCs w:val="24"/>
                <w:lang w:val="ru-RU" w:eastAsia="ru-RU"/>
              </w:rPr>
              <w:t>2021-2038</w:t>
            </w:r>
          </w:p>
        </w:tc>
      </w:tr>
      <w:tr w:rsidR="004651E2" w:rsidRPr="00D712D0" w:rsidTr="001A30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700" w:type="dxa"/>
            <w:noWrap/>
            <w:hideMark/>
          </w:tcPr>
          <w:p w:rsidR="004651E2" w:rsidRPr="00D712D0" w:rsidRDefault="000D6C1C" w:rsidP="001A3044">
            <w:pPr>
              <w:jc w:val="center"/>
              <w:rPr>
                <w:rFonts w:ascii="Times New Roman" w:eastAsia="Times New Roman" w:hAnsi="Times New Roman" w:cs="Times New Roman"/>
                <w:color w:val="auto"/>
                <w:sz w:val="24"/>
                <w:szCs w:val="24"/>
                <w:lang w:val="ru-RU" w:eastAsia="ru-RU"/>
              </w:rPr>
            </w:pPr>
            <w:r>
              <w:rPr>
                <w:rStyle w:val="hps"/>
              </w:rPr>
              <w:t>Profitability of</w:t>
            </w:r>
            <w:r>
              <w:rPr>
                <w:rStyle w:val="shorttext"/>
              </w:rPr>
              <w:t xml:space="preserve"> </w:t>
            </w:r>
            <w:r>
              <w:rPr>
                <w:rStyle w:val="hps"/>
              </w:rPr>
              <w:t>State</w:t>
            </w:r>
            <w:r>
              <w:rPr>
                <w:rStyle w:val="shorttext"/>
              </w:rPr>
              <w:t xml:space="preserve"> </w:t>
            </w:r>
            <w:r>
              <w:rPr>
                <w:rStyle w:val="hps"/>
              </w:rPr>
              <w:t>bonds</w:t>
            </w:r>
          </w:p>
        </w:tc>
        <w:tc>
          <w:tcPr>
            <w:tcW w:w="866" w:type="dxa"/>
            <w:noWrap/>
            <w:hideMark/>
          </w:tcPr>
          <w:p w:rsidR="004651E2" w:rsidRPr="00D712D0" w:rsidRDefault="004651E2" w:rsidP="001A30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lang w:val="ru-RU" w:eastAsia="ru-RU"/>
              </w:rPr>
            </w:pPr>
            <w:r w:rsidRPr="00D712D0">
              <w:rPr>
                <w:rFonts w:ascii="Times New Roman" w:eastAsia="Times New Roman" w:hAnsi="Times New Roman" w:cs="Times New Roman"/>
                <w:b/>
                <w:color w:val="auto"/>
                <w:sz w:val="24"/>
                <w:szCs w:val="24"/>
                <w:lang w:val="ru-RU" w:eastAsia="ru-RU"/>
              </w:rPr>
              <w:t>10.8%</w:t>
            </w:r>
          </w:p>
        </w:tc>
        <w:tc>
          <w:tcPr>
            <w:tcW w:w="866" w:type="dxa"/>
            <w:noWrap/>
            <w:hideMark/>
          </w:tcPr>
          <w:p w:rsidR="004651E2" w:rsidRPr="00D712D0" w:rsidRDefault="004651E2" w:rsidP="001A30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lang w:val="ru-RU" w:eastAsia="ru-RU"/>
              </w:rPr>
            </w:pPr>
            <w:r w:rsidRPr="00D712D0">
              <w:rPr>
                <w:rFonts w:ascii="Times New Roman" w:eastAsia="Times New Roman" w:hAnsi="Times New Roman" w:cs="Times New Roman"/>
                <w:b/>
                <w:color w:val="auto"/>
                <w:sz w:val="24"/>
                <w:szCs w:val="24"/>
                <w:lang w:val="ru-RU" w:eastAsia="ru-RU"/>
              </w:rPr>
              <w:t>10.0%</w:t>
            </w:r>
          </w:p>
        </w:tc>
        <w:tc>
          <w:tcPr>
            <w:tcW w:w="866" w:type="dxa"/>
            <w:noWrap/>
            <w:hideMark/>
          </w:tcPr>
          <w:p w:rsidR="004651E2" w:rsidRPr="00D712D0" w:rsidRDefault="004651E2" w:rsidP="001A30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lang w:val="ru-RU" w:eastAsia="ru-RU"/>
              </w:rPr>
            </w:pPr>
            <w:r w:rsidRPr="00D712D0">
              <w:rPr>
                <w:rFonts w:ascii="Times New Roman" w:eastAsia="Times New Roman" w:hAnsi="Times New Roman" w:cs="Times New Roman"/>
                <w:b/>
                <w:color w:val="auto"/>
                <w:sz w:val="24"/>
                <w:szCs w:val="24"/>
                <w:lang w:val="ru-RU" w:eastAsia="ru-RU"/>
              </w:rPr>
              <w:t>10.3%</w:t>
            </w:r>
          </w:p>
        </w:tc>
        <w:tc>
          <w:tcPr>
            <w:tcW w:w="866" w:type="dxa"/>
            <w:noWrap/>
            <w:hideMark/>
          </w:tcPr>
          <w:p w:rsidR="004651E2" w:rsidRPr="00D712D0" w:rsidRDefault="004651E2" w:rsidP="001A30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lang w:val="ru-RU" w:eastAsia="ru-RU"/>
              </w:rPr>
            </w:pPr>
            <w:r w:rsidRPr="00D712D0">
              <w:rPr>
                <w:rFonts w:ascii="Times New Roman" w:eastAsia="Times New Roman" w:hAnsi="Times New Roman" w:cs="Times New Roman"/>
                <w:b/>
                <w:color w:val="auto"/>
                <w:sz w:val="24"/>
                <w:szCs w:val="24"/>
                <w:lang w:val="ru-RU" w:eastAsia="ru-RU"/>
              </w:rPr>
              <w:t>10.2%</w:t>
            </w:r>
          </w:p>
        </w:tc>
        <w:tc>
          <w:tcPr>
            <w:tcW w:w="766" w:type="dxa"/>
            <w:noWrap/>
            <w:hideMark/>
          </w:tcPr>
          <w:p w:rsidR="004651E2" w:rsidRPr="00D712D0" w:rsidRDefault="004651E2" w:rsidP="001A30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lang w:val="ru-RU" w:eastAsia="ru-RU"/>
              </w:rPr>
            </w:pPr>
            <w:r w:rsidRPr="00D712D0">
              <w:rPr>
                <w:rFonts w:ascii="Times New Roman" w:eastAsia="Times New Roman" w:hAnsi="Times New Roman" w:cs="Times New Roman"/>
                <w:b/>
                <w:color w:val="auto"/>
                <w:sz w:val="24"/>
                <w:szCs w:val="24"/>
                <w:lang w:val="ru-RU" w:eastAsia="ru-RU"/>
              </w:rPr>
              <w:t>9.2%</w:t>
            </w:r>
          </w:p>
        </w:tc>
        <w:tc>
          <w:tcPr>
            <w:tcW w:w="766" w:type="dxa"/>
            <w:noWrap/>
            <w:hideMark/>
          </w:tcPr>
          <w:p w:rsidR="004651E2" w:rsidRPr="00D712D0" w:rsidRDefault="004651E2" w:rsidP="001A30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lang w:val="ru-RU" w:eastAsia="ru-RU"/>
              </w:rPr>
            </w:pPr>
            <w:r w:rsidRPr="00D712D0">
              <w:rPr>
                <w:rFonts w:ascii="Times New Roman" w:eastAsia="Times New Roman" w:hAnsi="Times New Roman" w:cs="Times New Roman"/>
                <w:b/>
                <w:color w:val="auto"/>
                <w:sz w:val="24"/>
                <w:szCs w:val="24"/>
                <w:lang w:val="ru-RU" w:eastAsia="ru-RU"/>
              </w:rPr>
              <w:t>8.7%</w:t>
            </w:r>
          </w:p>
        </w:tc>
        <w:tc>
          <w:tcPr>
            <w:tcW w:w="766" w:type="dxa"/>
            <w:noWrap/>
            <w:hideMark/>
          </w:tcPr>
          <w:p w:rsidR="004651E2" w:rsidRPr="00D712D0" w:rsidRDefault="004651E2" w:rsidP="001A30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lang w:val="ru-RU" w:eastAsia="ru-RU"/>
              </w:rPr>
            </w:pPr>
            <w:r w:rsidRPr="00D712D0">
              <w:rPr>
                <w:rFonts w:ascii="Times New Roman" w:eastAsia="Times New Roman" w:hAnsi="Times New Roman" w:cs="Times New Roman"/>
                <w:b/>
                <w:color w:val="auto"/>
                <w:sz w:val="24"/>
                <w:szCs w:val="24"/>
                <w:lang w:val="ru-RU" w:eastAsia="ru-RU"/>
              </w:rPr>
              <w:t>8.2%</w:t>
            </w:r>
          </w:p>
        </w:tc>
        <w:tc>
          <w:tcPr>
            <w:tcW w:w="1109" w:type="dxa"/>
            <w:noWrap/>
            <w:hideMark/>
          </w:tcPr>
          <w:p w:rsidR="004651E2" w:rsidRPr="00D712D0" w:rsidRDefault="004651E2" w:rsidP="001A304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auto"/>
                <w:sz w:val="24"/>
                <w:szCs w:val="24"/>
                <w:lang w:val="ru-RU" w:eastAsia="ru-RU"/>
              </w:rPr>
            </w:pPr>
            <w:r w:rsidRPr="00D712D0">
              <w:rPr>
                <w:rFonts w:ascii="Times New Roman" w:eastAsia="Times New Roman" w:hAnsi="Times New Roman" w:cs="Times New Roman"/>
                <w:b/>
                <w:color w:val="auto"/>
                <w:sz w:val="24"/>
                <w:szCs w:val="24"/>
                <w:lang w:val="ru-RU" w:eastAsia="ru-RU"/>
              </w:rPr>
              <w:t>7.6%</w:t>
            </w:r>
          </w:p>
        </w:tc>
      </w:tr>
    </w:tbl>
    <w:p w:rsidR="007B0942" w:rsidRPr="00D712D0" w:rsidRDefault="00B338DE" w:rsidP="008C5359">
      <w:pPr>
        <w:spacing w:after="0" w:line="240" w:lineRule="auto"/>
        <w:jc w:val="both"/>
        <w:rPr>
          <w:rStyle w:val="a6"/>
          <w:rFonts w:ascii="Times New Roman" w:hAnsi="Times New Roman"/>
        </w:rPr>
      </w:pPr>
      <w:r w:rsidRPr="00D712D0">
        <w:rPr>
          <w:rStyle w:val="a6"/>
          <w:rFonts w:ascii="Times New Roman" w:hAnsi="Times New Roman"/>
        </w:rPr>
        <w:tab/>
        <w:t>If the mentioned above assumptions hold, investment into the pension system may be able to sustain</w:t>
      </w:r>
      <w:r w:rsidR="00847F30" w:rsidRPr="00D712D0">
        <w:rPr>
          <w:rStyle w:val="a6"/>
          <w:rFonts w:ascii="Times New Roman" w:hAnsi="Times New Roman"/>
        </w:rPr>
        <w:t xml:space="preserve"> yearly substitution</w:t>
      </w:r>
      <w:r w:rsidRPr="00D712D0">
        <w:rPr>
          <w:rStyle w:val="a6"/>
          <w:rFonts w:ascii="Times New Roman" w:hAnsi="Times New Roman"/>
        </w:rPr>
        <w:t xml:space="preserve"> rate of 38%</w:t>
      </w:r>
      <w:r w:rsidR="00847F30" w:rsidRPr="00D712D0">
        <w:rPr>
          <w:rStyle w:val="a6"/>
          <w:rFonts w:ascii="Times New Roman" w:hAnsi="Times New Roman"/>
        </w:rPr>
        <w:t xml:space="preserve"> for men, and 31% for women</w:t>
      </w:r>
      <w:r w:rsidR="00847F30" w:rsidRPr="00D712D0">
        <w:rPr>
          <w:rStyle w:val="a5"/>
          <w:rFonts w:ascii="Times New Roman" w:hAnsi="Times New Roman" w:cs="Times New Roman"/>
          <w:bCs/>
          <w:color w:val="000000"/>
          <w:sz w:val="24"/>
          <w:szCs w:val="24"/>
          <w:shd w:val="clear" w:color="auto" w:fill="FFFFFF"/>
          <w:lang w:val="hy-AM"/>
        </w:rPr>
        <w:footnoteReference w:id="5"/>
      </w:r>
      <w:r w:rsidR="00847F30" w:rsidRPr="00D712D0">
        <w:rPr>
          <w:rStyle w:val="a6"/>
          <w:rFonts w:ascii="Times New Roman" w:hAnsi="Times New Roman"/>
        </w:rPr>
        <w:t xml:space="preserve">. </w:t>
      </w:r>
      <w:r w:rsidR="00216BDD" w:rsidRPr="00D712D0">
        <w:rPr>
          <w:rStyle w:val="a6"/>
          <w:rFonts w:ascii="Times New Roman" w:hAnsi="Times New Roman"/>
        </w:rPr>
        <w:t>There are two factors contributing to the lower substitution rate for women:</w:t>
      </w:r>
    </w:p>
    <w:p w:rsidR="00216BDD" w:rsidRPr="00D712D0" w:rsidRDefault="00216BDD" w:rsidP="008C5359">
      <w:pPr>
        <w:pStyle w:val="a7"/>
        <w:numPr>
          <w:ilvl w:val="0"/>
          <w:numId w:val="2"/>
        </w:numPr>
        <w:spacing w:after="0" w:line="240" w:lineRule="auto"/>
        <w:jc w:val="both"/>
        <w:rPr>
          <w:rStyle w:val="a6"/>
          <w:rFonts w:ascii="Times New Roman" w:hAnsi="Times New Roman"/>
        </w:rPr>
      </w:pPr>
      <w:r w:rsidRPr="00D712D0">
        <w:rPr>
          <w:rStyle w:val="a6"/>
          <w:rFonts w:ascii="Times New Roman" w:hAnsi="Times New Roman"/>
        </w:rPr>
        <w:t>Lower average wages</w:t>
      </w:r>
    </w:p>
    <w:p w:rsidR="00216BDD" w:rsidRPr="00D712D0" w:rsidRDefault="00216BDD" w:rsidP="008C5359">
      <w:pPr>
        <w:pStyle w:val="a7"/>
        <w:numPr>
          <w:ilvl w:val="0"/>
          <w:numId w:val="2"/>
        </w:numPr>
        <w:spacing w:after="0" w:line="240" w:lineRule="auto"/>
        <w:jc w:val="both"/>
        <w:rPr>
          <w:rStyle w:val="a6"/>
          <w:rFonts w:ascii="Times New Roman" w:hAnsi="Times New Roman"/>
        </w:rPr>
      </w:pPr>
      <w:r w:rsidRPr="00D712D0">
        <w:rPr>
          <w:rStyle w:val="a6"/>
          <w:rFonts w:ascii="Times New Roman" w:hAnsi="Times New Roman"/>
        </w:rPr>
        <w:t xml:space="preserve">Longer life expectancy </w:t>
      </w:r>
    </w:p>
    <w:p w:rsidR="00BE2B74" w:rsidRPr="00D712D0" w:rsidRDefault="00BE2B74" w:rsidP="008C5359">
      <w:pPr>
        <w:spacing w:after="0" w:line="240" w:lineRule="auto"/>
        <w:jc w:val="both"/>
        <w:rPr>
          <w:rStyle w:val="a6"/>
          <w:rFonts w:ascii="Times New Roman" w:hAnsi="Times New Roman"/>
          <w:b/>
        </w:rPr>
      </w:pPr>
    </w:p>
    <w:p w:rsidR="001374F1" w:rsidRPr="004B33BF" w:rsidRDefault="00F050EF" w:rsidP="008C5359">
      <w:pPr>
        <w:spacing w:after="0" w:line="240" w:lineRule="auto"/>
        <w:jc w:val="both"/>
        <w:rPr>
          <w:rFonts w:ascii="Times New Roman" w:hAnsi="Times New Roman" w:cs="Times New Roman"/>
          <w:b/>
          <w:sz w:val="24"/>
          <w:szCs w:val="24"/>
          <w:lang w:val="en-US"/>
        </w:rPr>
      </w:pPr>
      <w:r w:rsidRPr="00D712D0">
        <w:rPr>
          <w:rFonts w:ascii="Times New Roman" w:hAnsi="Times New Roman" w:cs="Times New Roman"/>
          <w:b/>
          <w:sz w:val="24"/>
          <w:szCs w:val="24"/>
          <w:lang w:val="hy-AM"/>
        </w:rPr>
        <w:t xml:space="preserve">General conclusions and </w:t>
      </w:r>
      <w:r w:rsidR="004B33BF">
        <w:rPr>
          <w:rFonts w:ascii="Times New Roman" w:hAnsi="Times New Roman" w:cs="Times New Roman"/>
          <w:b/>
          <w:sz w:val="24"/>
          <w:szCs w:val="24"/>
          <w:lang w:val="en-US"/>
        </w:rPr>
        <w:t>suggestions.</w:t>
      </w:r>
    </w:p>
    <w:p w:rsidR="00F050EF" w:rsidRPr="00D712D0" w:rsidRDefault="00F050EF" w:rsidP="008C5359">
      <w:pPr>
        <w:spacing w:after="0" w:line="240" w:lineRule="auto"/>
        <w:jc w:val="both"/>
        <w:rPr>
          <w:rFonts w:ascii="Times New Roman" w:hAnsi="Times New Roman" w:cs="Times New Roman"/>
          <w:sz w:val="24"/>
          <w:szCs w:val="24"/>
          <w:lang w:val="hy-AM"/>
        </w:rPr>
      </w:pPr>
      <w:r w:rsidRPr="00D712D0">
        <w:rPr>
          <w:rFonts w:ascii="Times New Roman" w:hAnsi="Times New Roman" w:cs="Times New Roman"/>
          <w:sz w:val="24"/>
          <w:szCs w:val="24"/>
          <w:lang w:val="hy-AM"/>
        </w:rPr>
        <w:tab/>
        <w:t>In this part we have tried to solve the isues unresolved by the «old» and «new» systems. To accomplish our goal we have developed two concepts of elderly support model, which may solve the issues of th rural population beeing left out, and difficulty of pension spending planning issue.</w:t>
      </w:r>
    </w:p>
    <w:p w:rsidR="00BE2B74" w:rsidRPr="00D712D0" w:rsidRDefault="00BE2B74" w:rsidP="00BE2B74">
      <w:pPr>
        <w:spacing w:after="0" w:line="360" w:lineRule="auto"/>
        <w:ind w:firstLine="709"/>
        <w:jc w:val="both"/>
        <w:rPr>
          <w:rStyle w:val="a6"/>
          <w:rFonts w:ascii="Times New Roman" w:hAnsi="Times New Roman"/>
          <w:i/>
          <w:lang w:val="en-US"/>
        </w:rPr>
      </w:pPr>
      <w:r w:rsidRPr="00D712D0">
        <w:rPr>
          <w:rStyle w:val="a6"/>
          <w:rFonts w:ascii="Times New Roman" w:hAnsi="Times New Roman"/>
          <w:i/>
        </w:rPr>
        <w:t>1.1</w:t>
      </w:r>
      <w:r w:rsidRPr="000D6C1C">
        <w:rPr>
          <w:rStyle w:val="a6"/>
          <w:rFonts w:ascii="Times New Roman" w:hAnsi="Times New Roman"/>
          <w:i/>
          <w:lang w:val="en-US"/>
        </w:rPr>
        <w:t xml:space="preserve">. </w:t>
      </w:r>
      <w:r w:rsidRPr="00D712D0">
        <w:rPr>
          <w:rStyle w:val="a6"/>
          <w:rFonts w:ascii="Times New Roman" w:hAnsi="Times New Roman"/>
          <w:i/>
        </w:rPr>
        <w:t xml:space="preserve"> </w:t>
      </w:r>
      <w:r w:rsidR="00BB4AD8" w:rsidRPr="00D712D0">
        <w:rPr>
          <w:rStyle w:val="a6"/>
          <w:rFonts w:ascii="Times New Roman" w:hAnsi="Times New Roman"/>
          <w:i/>
          <w:lang w:val="en-US"/>
        </w:rPr>
        <w:t>Old age support system, with income as function of years lived</w:t>
      </w:r>
    </w:p>
    <w:p w:rsidR="001A3044" w:rsidRPr="00D712D0" w:rsidRDefault="006B3DA3" w:rsidP="001175AD">
      <w:pPr>
        <w:spacing w:after="0" w:line="240" w:lineRule="auto"/>
        <w:ind w:firstLine="708"/>
        <w:jc w:val="both"/>
        <w:rPr>
          <w:rFonts w:ascii="Times New Roman" w:hAnsi="Times New Roman" w:cs="Times New Roman"/>
          <w:sz w:val="24"/>
          <w:szCs w:val="24"/>
          <w:lang w:val="en-US"/>
        </w:rPr>
      </w:pPr>
      <w:r w:rsidRPr="00D712D0">
        <w:rPr>
          <w:rFonts w:ascii="Times New Roman" w:hAnsi="Times New Roman" w:cs="Times New Roman"/>
          <w:sz w:val="24"/>
          <w:szCs w:val="24"/>
          <w:lang w:val="en-US"/>
        </w:rPr>
        <w:t xml:space="preserve">The basic assumption here is that the government is not able to determine the </w:t>
      </w:r>
      <w:r w:rsidR="000D6C1C" w:rsidRPr="00D712D0">
        <w:rPr>
          <w:rFonts w:ascii="Times New Roman" w:hAnsi="Times New Roman" w:cs="Times New Roman"/>
          <w:sz w:val="24"/>
          <w:szCs w:val="24"/>
          <w:lang w:val="en-US"/>
        </w:rPr>
        <w:t>amount</w:t>
      </w:r>
      <w:r w:rsidRPr="00D712D0">
        <w:rPr>
          <w:rFonts w:ascii="Times New Roman" w:hAnsi="Times New Roman" w:cs="Times New Roman"/>
          <w:sz w:val="24"/>
          <w:szCs w:val="24"/>
          <w:lang w:val="en-US"/>
        </w:rPr>
        <w:t xml:space="preserve"> of an individuals contribution to society, or created utility over lifetime. One could suggest using wages as an indicator, however this indicator often fails to show the real value of an individuals contribution; consider the case of school teacher and CEO of a mining company.</w:t>
      </w:r>
      <w:r w:rsidR="007A5839" w:rsidRPr="00D712D0">
        <w:rPr>
          <w:rFonts w:ascii="Times New Roman" w:hAnsi="Times New Roman" w:cs="Times New Roman"/>
          <w:sz w:val="24"/>
          <w:szCs w:val="24"/>
          <w:lang w:val="en-US"/>
        </w:rPr>
        <w:t xml:space="preserve"> The other method to evaluate ones contribution is to calculate the working experience over lifetime, however this method leaves out the rural population and some other layers of population that </w:t>
      </w:r>
      <w:r w:rsidR="000D6C1C" w:rsidRPr="00D712D0">
        <w:rPr>
          <w:rFonts w:ascii="Times New Roman" w:hAnsi="Times New Roman" w:cs="Times New Roman"/>
          <w:sz w:val="24"/>
          <w:szCs w:val="24"/>
          <w:lang w:val="en-US"/>
        </w:rPr>
        <w:t>cannot</w:t>
      </w:r>
      <w:r w:rsidR="007A5839" w:rsidRPr="00D712D0">
        <w:rPr>
          <w:rFonts w:ascii="Times New Roman" w:hAnsi="Times New Roman" w:cs="Times New Roman"/>
          <w:sz w:val="24"/>
          <w:szCs w:val="24"/>
          <w:lang w:val="en-US"/>
        </w:rPr>
        <w:t xml:space="preserve"> afford to work in the formal sector or are </w:t>
      </w:r>
      <w:r w:rsidR="000D6C1C" w:rsidRPr="00D712D0">
        <w:rPr>
          <w:rFonts w:ascii="Times New Roman" w:hAnsi="Times New Roman" w:cs="Times New Roman"/>
          <w:sz w:val="24"/>
          <w:szCs w:val="24"/>
          <w:lang w:val="en-US"/>
        </w:rPr>
        <w:t>physically</w:t>
      </w:r>
      <w:r w:rsidR="007A5839" w:rsidRPr="00D712D0">
        <w:rPr>
          <w:rFonts w:ascii="Times New Roman" w:hAnsi="Times New Roman" w:cs="Times New Roman"/>
          <w:sz w:val="24"/>
          <w:szCs w:val="24"/>
          <w:lang w:val="en-US"/>
        </w:rPr>
        <w:t xml:space="preserve"> incapable to do so. </w:t>
      </w:r>
    </w:p>
    <w:p w:rsidR="006B3DA3" w:rsidRPr="00D712D0" w:rsidRDefault="001A3044" w:rsidP="001175AD">
      <w:pPr>
        <w:spacing w:after="0" w:line="240" w:lineRule="auto"/>
        <w:ind w:firstLine="708"/>
        <w:jc w:val="both"/>
        <w:rPr>
          <w:rFonts w:ascii="Times New Roman" w:hAnsi="Times New Roman" w:cs="Times New Roman"/>
          <w:sz w:val="24"/>
          <w:szCs w:val="24"/>
          <w:lang w:val="en-US"/>
        </w:rPr>
      </w:pPr>
      <w:r w:rsidRPr="00D712D0">
        <w:rPr>
          <w:rFonts w:ascii="Times New Roman" w:hAnsi="Times New Roman" w:cs="Times New Roman"/>
          <w:sz w:val="24"/>
          <w:szCs w:val="24"/>
          <w:lang w:val="en-US"/>
        </w:rPr>
        <w:lastRenderedPageBreak/>
        <w:t xml:space="preserve">Neither of the systems is </w:t>
      </w:r>
      <w:r w:rsidR="000D6C1C" w:rsidRPr="00D712D0">
        <w:rPr>
          <w:rFonts w:ascii="Times New Roman" w:hAnsi="Times New Roman" w:cs="Times New Roman"/>
          <w:sz w:val="24"/>
          <w:szCs w:val="24"/>
          <w:lang w:val="en-US"/>
        </w:rPr>
        <w:t>addressing</w:t>
      </w:r>
      <w:r w:rsidRPr="00D712D0">
        <w:rPr>
          <w:rFonts w:ascii="Times New Roman" w:hAnsi="Times New Roman" w:cs="Times New Roman"/>
          <w:sz w:val="24"/>
          <w:szCs w:val="24"/>
          <w:lang w:val="en-US"/>
        </w:rPr>
        <w:t xml:space="preserve"> the issues mentioned above. Moreover, through the new system the government is providing support only to the formal sector employees leaving out the rural sector completely; through the system is designed in a way, when the higher wage means higher level of government support. </w:t>
      </w:r>
    </w:p>
    <w:p w:rsidR="00BB4AD8" w:rsidRPr="00D712D0" w:rsidRDefault="00490866" w:rsidP="00BB4AD8">
      <w:pPr>
        <w:spacing w:after="0" w:line="240" w:lineRule="auto"/>
        <w:ind w:firstLine="708"/>
        <w:jc w:val="both"/>
        <w:rPr>
          <w:rFonts w:ascii="Times New Roman" w:hAnsi="Times New Roman" w:cs="Times New Roman"/>
          <w:sz w:val="24"/>
          <w:szCs w:val="24"/>
          <w:lang w:val="en-US"/>
        </w:rPr>
      </w:pPr>
      <w:r w:rsidRPr="00D712D0">
        <w:rPr>
          <w:rFonts w:ascii="Times New Roman" w:hAnsi="Times New Roman" w:cs="Times New Roman"/>
          <w:sz w:val="24"/>
          <w:szCs w:val="24"/>
          <w:lang w:val="en-US"/>
        </w:rPr>
        <w:t>To solve those issues we offer the following system model.</w:t>
      </w:r>
    </w:p>
    <w:p w:rsidR="00490866" w:rsidRPr="00D712D0" w:rsidRDefault="00490866" w:rsidP="00BB4AD8">
      <w:pPr>
        <w:spacing w:after="0" w:line="240" w:lineRule="auto"/>
        <w:ind w:firstLine="708"/>
        <w:jc w:val="both"/>
        <w:rPr>
          <w:rFonts w:ascii="Times New Roman" w:hAnsi="Times New Roman" w:cs="Times New Roman"/>
          <w:sz w:val="24"/>
          <w:szCs w:val="24"/>
          <w:lang w:val="en-US"/>
        </w:rPr>
      </w:pPr>
      <w:r w:rsidRPr="00D712D0">
        <w:rPr>
          <w:rFonts w:ascii="Times New Roman" w:hAnsi="Times New Roman" w:cs="Times New Roman"/>
          <w:sz w:val="24"/>
          <w:szCs w:val="24"/>
          <w:lang w:val="en-US"/>
        </w:rPr>
        <w:t xml:space="preserve">The government of RA is accepting liabilities to </w:t>
      </w:r>
      <w:r w:rsidR="000D6C1C" w:rsidRPr="00D712D0">
        <w:rPr>
          <w:rFonts w:ascii="Times New Roman" w:hAnsi="Times New Roman" w:cs="Times New Roman"/>
          <w:sz w:val="24"/>
          <w:szCs w:val="24"/>
          <w:lang w:val="en-US"/>
        </w:rPr>
        <w:t>provide</w:t>
      </w:r>
      <w:r w:rsidRPr="00D712D0">
        <w:rPr>
          <w:rFonts w:ascii="Times New Roman" w:hAnsi="Times New Roman" w:cs="Times New Roman"/>
          <w:sz w:val="24"/>
          <w:szCs w:val="24"/>
          <w:lang w:val="en-US"/>
        </w:rPr>
        <w:t xml:space="preserve"> pension support as soon as an individual reaches the age of 18. The liabilities grow with every complete year that a person lives in RA. The year is announced complete if the person in question have spent 8 month or more in Armenia and is а citizen of RA.</w:t>
      </w:r>
      <w:r w:rsidR="009D231B" w:rsidRPr="00D712D0">
        <w:rPr>
          <w:rFonts w:ascii="Times New Roman" w:hAnsi="Times New Roman" w:cs="Times New Roman"/>
          <w:sz w:val="24"/>
          <w:szCs w:val="24"/>
          <w:lang w:val="en-US"/>
        </w:rPr>
        <w:t xml:space="preserve"> The right to receive pension support is achieved if </w:t>
      </w:r>
      <w:r w:rsidR="000D6C1C" w:rsidRPr="00D712D0">
        <w:rPr>
          <w:rFonts w:ascii="Times New Roman" w:hAnsi="Times New Roman" w:cs="Times New Roman"/>
          <w:sz w:val="24"/>
          <w:szCs w:val="24"/>
          <w:lang w:val="en-US"/>
        </w:rPr>
        <w:t>an</w:t>
      </w:r>
      <w:r w:rsidR="009D231B" w:rsidRPr="00D712D0">
        <w:rPr>
          <w:rFonts w:ascii="Times New Roman" w:hAnsi="Times New Roman" w:cs="Times New Roman"/>
          <w:sz w:val="24"/>
          <w:szCs w:val="24"/>
          <w:lang w:val="en-US"/>
        </w:rPr>
        <w:t xml:space="preserve"> individual is living in RA when he reaches the pensionable age, without </w:t>
      </w:r>
      <w:r w:rsidR="000D6C1C" w:rsidRPr="00D712D0">
        <w:rPr>
          <w:rFonts w:ascii="Times New Roman" w:hAnsi="Times New Roman" w:cs="Times New Roman"/>
          <w:sz w:val="24"/>
          <w:szCs w:val="24"/>
          <w:lang w:val="en-US"/>
        </w:rPr>
        <w:t>the in</w:t>
      </w:r>
      <w:r w:rsidRPr="00D712D0">
        <w:rPr>
          <w:rFonts w:ascii="Times New Roman" w:hAnsi="Times New Roman" w:cs="Times New Roman"/>
          <w:sz w:val="24"/>
          <w:szCs w:val="24"/>
          <w:lang w:val="en-US"/>
        </w:rPr>
        <w:t xml:space="preserve"> this model we are proposing to </w:t>
      </w:r>
      <w:r w:rsidR="000D6C1C" w:rsidRPr="00D712D0">
        <w:rPr>
          <w:rFonts w:ascii="Times New Roman" w:hAnsi="Times New Roman" w:cs="Times New Roman"/>
          <w:sz w:val="24"/>
          <w:szCs w:val="24"/>
          <w:lang w:val="en-US"/>
        </w:rPr>
        <w:t>use either</w:t>
      </w:r>
      <w:r w:rsidRPr="00D712D0">
        <w:rPr>
          <w:rFonts w:ascii="Times New Roman" w:hAnsi="Times New Roman" w:cs="Times New Roman"/>
          <w:sz w:val="24"/>
          <w:szCs w:val="24"/>
          <w:lang w:val="en-US"/>
        </w:rPr>
        <w:t xml:space="preserve"> of two indicators the monthly pension will be tied to:</w:t>
      </w:r>
    </w:p>
    <w:p w:rsidR="00490866" w:rsidRPr="00D712D0" w:rsidRDefault="00490866" w:rsidP="00490866">
      <w:pPr>
        <w:pStyle w:val="a7"/>
        <w:numPr>
          <w:ilvl w:val="0"/>
          <w:numId w:val="3"/>
        </w:numPr>
        <w:spacing w:after="0" w:line="240" w:lineRule="auto"/>
        <w:jc w:val="both"/>
        <w:rPr>
          <w:rFonts w:ascii="Times New Roman" w:hAnsi="Times New Roman" w:cs="Times New Roman"/>
          <w:sz w:val="24"/>
          <w:szCs w:val="24"/>
          <w:lang w:val="en-US"/>
        </w:rPr>
      </w:pPr>
      <w:r w:rsidRPr="00D712D0">
        <w:rPr>
          <w:rFonts w:ascii="Times New Roman" w:hAnsi="Times New Roman" w:cs="Times New Roman"/>
          <w:sz w:val="24"/>
          <w:szCs w:val="24"/>
          <w:lang w:val="en-US"/>
        </w:rPr>
        <w:t xml:space="preserve">The average wage in the </w:t>
      </w:r>
      <w:r w:rsidR="000D6C1C" w:rsidRPr="00D712D0">
        <w:rPr>
          <w:rFonts w:ascii="Times New Roman" w:hAnsi="Times New Roman" w:cs="Times New Roman"/>
          <w:sz w:val="24"/>
          <w:szCs w:val="24"/>
          <w:lang w:val="en-US"/>
        </w:rPr>
        <w:t>current</w:t>
      </w:r>
      <w:r w:rsidRPr="00D712D0">
        <w:rPr>
          <w:rFonts w:ascii="Times New Roman" w:hAnsi="Times New Roman" w:cs="Times New Roman"/>
          <w:sz w:val="24"/>
          <w:szCs w:val="24"/>
          <w:lang w:val="en-US"/>
        </w:rPr>
        <w:t xml:space="preserve"> year</w:t>
      </w:r>
    </w:p>
    <w:p w:rsidR="00490866" w:rsidRPr="00D712D0" w:rsidRDefault="00490866" w:rsidP="00490866">
      <w:pPr>
        <w:pStyle w:val="a7"/>
        <w:numPr>
          <w:ilvl w:val="0"/>
          <w:numId w:val="3"/>
        </w:numPr>
        <w:spacing w:after="0" w:line="240" w:lineRule="auto"/>
        <w:jc w:val="both"/>
        <w:rPr>
          <w:rFonts w:ascii="Times New Roman" w:hAnsi="Times New Roman" w:cs="Times New Roman"/>
          <w:sz w:val="24"/>
          <w:szCs w:val="24"/>
          <w:lang w:val="en-US"/>
        </w:rPr>
      </w:pPr>
      <w:r w:rsidRPr="00D712D0">
        <w:rPr>
          <w:rFonts w:ascii="Times New Roman" w:hAnsi="Times New Roman" w:cs="Times New Roman"/>
          <w:sz w:val="24"/>
          <w:szCs w:val="24"/>
          <w:lang w:val="en-US"/>
        </w:rPr>
        <w:t>The special MCB for the elderly</w:t>
      </w:r>
    </w:p>
    <w:p w:rsidR="007E74A9" w:rsidRPr="00D712D0" w:rsidRDefault="007E74A9" w:rsidP="007E74A9">
      <w:pPr>
        <w:spacing w:after="0" w:line="240" w:lineRule="auto"/>
        <w:ind w:left="1068"/>
        <w:jc w:val="both"/>
        <w:rPr>
          <w:rFonts w:ascii="Times New Roman" w:hAnsi="Times New Roman" w:cs="Times New Roman"/>
          <w:sz w:val="24"/>
          <w:szCs w:val="24"/>
          <w:lang w:val="en-US"/>
        </w:rPr>
      </w:pPr>
    </w:p>
    <w:p w:rsidR="00490866" w:rsidRPr="00D712D0" w:rsidRDefault="007E74A9" w:rsidP="00D17E32">
      <w:pPr>
        <w:spacing w:after="0" w:line="240" w:lineRule="auto"/>
        <w:ind w:firstLine="708"/>
        <w:jc w:val="both"/>
        <w:rPr>
          <w:rFonts w:ascii="Times New Roman" w:hAnsi="Times New Roman" w:cs="Times New Roman"/>
          <w:sz w:val="24"/>
          <w:szCs w:val="24"/>
          <w:lang w:val="en-US"/>
        </w:rPr>
      </w:pPr>
      <w:r w:rsidRPr="00D712D0">
        <w:rPr>
          <w:rFonts w:ascii="Times New Roman" w:hAnsi="Times New Roman" w:cs="Times New Roman"/>
          <w:sz w:val="24"/>
          <w:szCs w:val="24"/>
          <w:lang w:val="en-US"/>
        </w:rPr>
        <w:t>In the first case the system aims to flatten the income curve over life time and decrease the difference in incomes among the elderly and working population. To do so the monthly</w:t>
      </w:r>
      <w:r w:rsidR="00D17E32" w:rsidRPr="00D712D0">
        <w:rPr>
          <w:rFonts w:ascii="Times New Roman" w:hAnsi="Times New Roman" w:cs="Times New Roman"/>
          <w:sz w:val="24"/>
          <w:szCs w:val="24"/>
          <w:lang w:val="en-US"/>
        </w:rPr>
        <w:t xml:space="preserve"> pension support level is calculated according to the following formula:</w:t>
      </w:r>
    </w:p>
    <w:p w:rsidR="00D17E32" w:rsidRPr="00D712D0" w:rsidRDefault="00D17E32" w:rsidP="00D17E32">
      <w:pPr>
        <w:spacing w:after="0" w:line="360" w:lineRule="auto"/>
        <w:ind w:firstLine="709"/>
        <w:jc w:val="both"/>
        <w:rPr>
          <w:rStyle w:val="a6"/>
          <w:rFonts w:ascii="Times New Roman" w:hAnsi="Times New Roman"/>
        </w:rPr>
      </w:pPr>
    </w:p>
    <w:p w:rsidR="00D17E32" w:rsidRPr="00D712D0" w:rsidRDefault="00D17E32" w:rsidP="00D17E32">
      <w:pPr>
        <w:spacing w:after="0" w:line="360" w:lineRule="auto"/>
        <w:jc w:val="center"/>
        <w:rPr>
          <w:rStyle w:val="a6"/>
          <w:rFonts w:ascii="Times New Roman" w:hAnsi="Times New Roman"/>
        </w:rPr>
      </w:pPr>
      <w:r w:rsidRPr="00D712D0">
        <w:rPr>
          <w:rStyle w:val="a6"/>
          <w:rFonts w:ascii="Times New Roman" w:hAnsi="Times New Roman"/>
          <w:lang w:val="en-US"/>
        </w:rPr>
        <w:t>P</w:t>
      </w:r>
      <w:r w:rsidRPr="00D712D0">
        <w:rPr>
          <w:rStyle w:val="a6"/>
          <w:rFonts w:ascii="Times New Roman" w:hAnsi="Times New Roman"/>
        </w:rPr>
        <w:t xml:space="preserve"> = </w:t>
      </w:r>
      <w:r w:rsidRPr="00D712D0">
        <w:rPr>
          <w:rStyle w:val="a6"/>
          <w:rFonts w:ascii="Times New Roman" w:hAnsi="Times New Roman"/>
          <w:lang w:val="en-US"/>
        </w:rPr>
        <w:t>K</w:t>
      </w:r>
      <w:r w:rsidRPr="00D712D0">
        <w:rPr>
          <w:rStyle w:val="a6"/>
          <w:rFonts w:ascii="Times New Roman" w:hAnsi="Times New Roman"/>
        </w:rPr>
        <w:t xml:space="preserve"> * </w:t>
      </w:r>
      <w:r w:rsidRPr="00D712D0">
        <w:rPr>
          <w:rStyle w:val="a6"/>
          <w:rFonts w:ascii="Times New Roman" w:hAnsi="Times New Roman"/>
          <w:lang w:val="en-US"/>
        </w:rPr>
        <w:t>T</w:t>
      </w:r>
    </w:p>
    <w:p w:rsidR="00D17E32" w:rsidRPr="00D712D0" w:rsidRDefault="00D17E32" w:rsidP="00D17E32">
      <w:pPr>
        <w:spacing w:after="0" w:line="360" w:lineRule="auto"/>
        <w:jc w:val="center"/>
        <w:rPr>
          <w:rStyle w:val="a6"/>
          <w:rFonts w:ascii="Times New Roman" w:hAnsi="Times New Roman"/>
          <w:lang w:val="en-US"/>
        </w:rPr>
      </w:pPr>
      <w:r w:rsidRPr="00D712D0">
        <w:rPr>
          <w:rStyle w:val="a6"/>
          <w:rFonts w:ascii="Times New Roman" w:hAnsi="Times New Roman"/>
          <w:lang w:val="en-US"/>
        </w:rPr>
        <w:t>K</w:t>
      </w:r>
      <w:r w:rsidRPr="00D712D0">
        <w:rPr>
          <w:rStyle w:val="a6"/>
          <w:rFonts w:ascii="Times New Roman" w:hAnsi="Times New Roman"/>
        </w:rPr>
        <w:t xml:space="preserve">= </w:t>
      </w:r>
      <w:r w:rsidRPr="00D712D0">
        <w:rPr>
          <w:rStyle w:val="a6"/>
          <w:rFonts w:ascii="Times New Roman" w:hAnsi="Times New Roman"/>
          <w:lang w:val="en-US"/>
        </w:rPr>
        <w:t>R</w:t>
      </w:r>
      <w:r w:rsidRPr="00D712D0">
        <w:rPr>
          <w:rStyle w:val="a6"/>
          <w:rFonts w:ascii="Times New Roman" w:hAnsi="Times New Roman"/>
        </w:rPr>
        <w:t xml:space="preserve"> * </w:t>
      </w:r>
      <w:r w:rsidRPr="00D712D0">
        <w:rPr>
          <w:rStyle w:val="a6"/>
          <w:rFonts w:ascii="Times New Roman" w:hAnsi="Times New Roman"/>
          <w:lang w:val="en-US"/>
        </w:rPr>
        <w:t>AW</w:t>
      </w:r>
      <w:r w:rsidRPr="00D712D0">
        <w:rPr>
          <w:rStyle w:val="a6"/>
          <w:rFonts w:ascii="Times New Roman" w:hAnsi="Times New Roman"/>
        </w:rPr>
        <w:t xml:space="preserve"> / </w:t>
      </w:r>
      <w:r w:rsidRPr="00D712D0">
        <w:rPr>
          <w:rStyle w:val="a6"/>
          <w:rFonts w:ascii="Times New Roman" w:hAnsi="Times New Roman"/>
          <w:lang w:val="en-US"/>
        </w:rPr>
        <w:t>Y</w:t>
      </w:r>
      <w:r w:rsidRPr="00D712D0">
        <w:rPr>
          <w:rStyle w:val="a5"/>
          <w:rFonts w:ascii="Times New Roman" w:hAnsi="Times New Roman" w:cs="Times New Roman"/>
          <w:bCs/>
          <w:color w:val="000000"/>
          <w:sz w:val="24"/>
          <w:szCs w:val="24"/>
          <w:shd w:val="clear" w:color="auto" w:fill="FFFFFF"/>
          <w:lang w:val="en-US"/>
        </w:rPr>
        <w:footnoteReference w:id="6"/>
      </w:r>
    </w:p>
    <w:p w:rsidR="00D17E32" w:rsidRPr="00D712D0" w:rsidRDefault="00D17E32" w:rsidP="00D17E32">
      <w:pPr>
        <w:spacing w:after="0" w:line="240" w:lineRule="auto"/>
        <w:jc w:val="both"/>
        <w:rPr>
          <w:rFonts w:ascii="Times New Roman" w:hAnsi="Times New Roman" w:cs="Times New Roman"/>
          <w:sz w:val="24"/>
          <w:szCs w:val="24"/>
          <w:lang w:val="en-US"/>
        </w:rPr>
      </w:pPr>
      <w:r w:rsidRPr="00D712D0">
        <w:rPr>
          <w:rFonts w:ascii="Times New Roman" w:hAnsi="Times New Roman" w:cs="Times New Roman"/>
          <w:sz w:val="24"/>
          <w:szCs w:val="24"/>
          <w:lang w:val="en-US"/>
        </w:rPr>
        <w:tab/>
        <w:t xml:space="preserve">Here P stands for average monthly pension, T is years lived in RA, K the value of one year lived, R the wage replacement rate that the government </w:t>
      </w:r>
      <w:r w:rsidR="000D6C1C" w:rsidRPr="00D712D0">
        <w:rPr>
          <w:rFonts w:ascii="Times New Roman" w:hAnsi="Times New Roman" w:cs="Times New Roman"/>
          <w:sz w:val="24"/>
          <w:szCs w:val="24"/>
          <w:lang w:val="en-US"/>
        </w:rPr>
        <w:t>targets</w:t>
      </w:r>
      <w:r w:rsidRPr="00D712D0">
        <w:rPr>
          <w:rFonts w:ascii="Times New Roman" w:hAnsi="Times New Roman" w:cs="Times New Roman"/>
          <w:sz w:val="24"/>
          <w:szCs w:val="24"/>
          <w:lang w:val="en-US"/>
        </w:rPr>
        <w:t xml:space="preserve"> to achieve, AW </w:t>
      </w:r>
      <w:r w:rsidR="000D6C1C" w:rsidRPr="00D712D0">
        <w:rPr>
          <w:rFonts w:ascii="Times New Roman" w:hAnsi="Times New Roman" w:cs="Times New Roman"/>
          <w:sz w:val="24"/>
          <w:szCs w:val="24"/>
          <w:lang w:val="en-US"/>
        </w:rPr>
        <w:t>current</w:t>
      </w:r>
      <w:r w:rsidRPr="00D712D0">
        <w:rPr>
          <w:rFonts w:ascii="Times New Roman" w:hAnsi="Times New Roman" w:cs="Times New Roman"/>
          <w:sz w:val="24"/>
          <w:szCs w:val="24"/>
          <w:lang w:val="en-US"/>
        </w:rPr>
        <w:t xml:space="preserve"> average wage and Y is the max possible </w:t>
      </w:r>
      <w:r w:rsidR="000D6C1C" w:rsidRPr="00D712D0">
        <w:rPr>
          <w:rFonts w:ascii="Times New Roman" w:hAnsi="Times New Roman" w:cs="Times New Roman"/>
          <w:sz w:val="24"/>
          <w:szCs w:val="24"/>
          <w:lang w:val="en-US"/>
        </w:rPr>
        <w:t>amount</w:t>
      </w:r>
      <w:r w:rsidRPr="00D712D0">
        <w:rPr>
          <w:rFonts w:ascii="Times New Roman" w:hAnsi="Times New Roman" w:cs="Times New Roman"/>
          <w:sz w:val="24"/>
          <w:szCs w:val="24"/>
          <w:lang w:val="en-US"/>
        </w:rPr>
        <w:t xml:space="preserve"> of years lived in RA.</w:t>
      </w:r>
    </w:p>
    <w:p w:rsidR="009D231B" w:rsidRPr="00D712D0" w:rsidRDefault="009D231B" w:rsidP="00D17E32">
      <w:pPr>
        <w:spacing w:after="0" w:line="240" w:lineRule="auto"/>
        <w:jc w:val="both"/>
        <w:rPr>
          <w:rFonts w:ascii="Times New Roman" w:hAnsi="Times New Roman" w:cs="Times New Roman"/>
          <w:sz w:val="24"/>
          <w:szCs w:val="24"/>
          <w:lang w:val="en-US"/>
        </w:rPr>
      </w:pPr>
      <w:r w:rsidRPr="00D712D0">
        <w:rPr>
          <w:rFonts w:ascii="Times New Roman" w:hAnsi="Times New Roman" w:cs="Times New Roman"/>
          <w:sz w:val="24"/>
          <w:szCs w:val="24"/>
          <w:lang w:val="en-US"/>
        </w:rPr>
        <w:tab/>
        <w:t>Thus to get the maximal pension support one has to live on the territory of RA for at least 47 years. In the table below we have discussed the three possible outcomes, depending on the replacement rate, set by the government:</w:t>
      </w:r>
    </w:p>
    <w:p w:rsidR="009D231B" w:rsidRPr="00D712D0" w:rsidRDefault="009D231B" w:rsidP="00D17E32">
      <w:pPr>
        <w:spacing w:after="0" w:line="240" w:lineRule="auto"/>
        <w:jc w:val="both"/>
        <w:rPr>
          <w:rFonts w:ascii="Times New Roman" w:hAnsi="Times New Roman" w:cs="Times New Roman"/>
          <w:sz w:val="24"/>
          <w:szCs w:val="24"/>
          <w:lang w:val="en-US"/>
        </w:rPr>
      </w:pPr>
      <w:r w:rsidRPr="00D712D0">
        <w:rPr>
          <w:rFonts w:ascii="Times New Roman" w:hAnsi="Times New Roman" w:cs="Times New Roman"/>
          <w:sz w:val="24"/>
          <w:szCs w:val="24"/>
          <w:lang w:val="en-US"/>
        </w:rPr>
        <w:t>Table 7</w:t>
      </w:r>
    </w:p>
    <w:tbl>
      <w:tblPr>
        <w:tblStyle w:val="LightShading-Accent11"/>
        <w:tblW w:w="9855" w:type="dxa"/>
        <w:tblLayout w:type="fixed"/>
        <w:tblLook w:val="04A0" w:firstRow="1" w:lastRow="0" w:firstColumn="1" w:lastColumn="0" w:noHBand="0" w:noVBand="1"/>
      </w:tblPr>
      <w:tblGrid>
        <w:gridCol w:w="469"/>
        <w:gridCol w:w="1482"/>
        <w:gridCol w:w="1493"/>
        <w:gridCol w:w="2420"/>
        <w:gridCol w:w="2612"/>
        <w:gridCol w:w="1379"/>
      </w:tblGrid>
      <w:tr w:rsidR="009D231B" w:rsidRPr="00D712D0" w:rsidTr="000D6C1C">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69" w:type="dxa"/>
            <w:hideMark/>
          </w:tcPr>
          <w:p w:rsidR="009D231B" w:rsidRPr="00D712D0" w:rsidRDefault="009D231B" w:rsidP="000D6C1C">
            <w:pPr>
              <w:jc w:val="center"/>
              <w:rPr>
                <w:rFonts w:ascii="Times New Roman" w:eastAsia="Times New Roman" w:hAnsi="Times New Roman" w:cs="Times New Roman"/>
                <w:color w:val="000000"/>
                <w:sz w:val="24"/>
                <w:szCs w:val="24"/>
                <w:lang w:val="ru-RU" w:eastAsia="ru-RU"/>
              </w:rPr>
            </w:pPr>
            <w:r w:rsidRPr="00D712D0">
              <w:rPr>
                <w:rFonts w:ascii="Times New Roman" w:eastAsia="Times New Roman" w:hAnsi="Times New Roman" w:cs="Times New Roman"/>
                <w:color w:val="000000"/>
                <w:sz w:val="24"/>
                <w:szCs w:val="24"/>
                <w:lang w:val="ru-RU" w:eastAsia="ru-RU"/>
              </w:rPr>
              <w:t>N</w:t>
            </w:r>
          </w:p>
        </w:tc>
        <w:tc>
          <w:tcPr>
            <w:tcW w:w="1482" w:type="dxa"/>
            <w:hideMark/>
          </w:tcPr>
          <w:p w:rsidR="009D231B" w:rsidRPr="00D712D0" w:rsidRDefault="004B33BF" w:rsidP="000D6C1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hy-AM" w:eastAsia="ru-RU"/>
              </w:rPr>
            </w:pPr>
            <w:r>
              <w:rPr>
                <w:rFonts w:ascii="Times New Roman" w:eastAsia="Times New Roman" w:hAnsi="Times New Roman" w:cs="Times New Roman"/>
                <w:color w:val="000000"/>
                <w:sz w:val="24"/>
                <w:szCs w:val="24"/>
                <w:lang w:eastAsia="ru-RU"/>
              </w:rPr>
              <w:t>Substitution rate</w:t>
            </w:r>
          </w:p>
        </w:tc>
        <w:tc>
          <w:tcPr>
            <w:tcW w:w="1493" w:type="dxa"/>
            <w:hideMark/>
          </w:tcPr>
          <w:p w:rsidR="009D231B" w:rsidRPr="00D712D0" w:rsidRDefault="004B33BF" w:rsidP="000D6C1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Max possible monthly pension 2061</w:t>
            </w:r>
          </w:p>
        </w:tc>
        <w:tc>
          <w:tcPr>
            <w:tcW w:w="2420" w:type="dxa"/>
            <w:hideMark/>
          </w:tcPr>
          <w:p w:rsidR="009D231B" w:rsidRPr="00D712D0" w:rsidRDefault="004B33BF" w:rsidP="000D6C1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Max possible of pensioners (elderly)</w:t>
            </w:r>
            <w:r w:rsidR="009D231B" w:rsidRPr="00D712D0">
              <w:rPr>
                <w:rFonts w:ascii="Times New Roman" w:eastAsia="Times New Roman" w:hAnsi="Times New Roman" w:cs="Times New Roman"/>
                <w:color w:val="000000"/>
                <w:sz w:val="24"/>
                <w:szCs w:val="24"/>
                <w:lang w:eastAsia="ru-RU"/>
              </w:rPr>
              <w:t>*</w:t>
            </w:r>
          </w:p>
        </w:tc>
        <w:tc>
          <w:tcPr>
            <w:tcW w:w="2612" w:type="dxa"/>
            <w:hideMark/>
          </w:tcPr>
          <w:p w:rsidR="009D231B" w:rsidRPr="004B33BF" w:rsidRDefault="004B33BF" w:rsidP="000D6C1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Max monthly expenses in the first year of operation</w:t>
            </w:r>
          </w:p>
        </w:tc>
        <w:tc>
          <w:tcPr>
            <w:tcW w:w="1379" w:type="dxa"/>
            <w:hideMark/>
          </w:tcPr>
          <w:p w:rsidR="009D231B" w:rsidRPr="004B33BF" w:rsidRDefault="004B33BF" w:rsidP="000D6C1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Value of one year lived</w:t>
            </w:r>
          </w:p>
        </w:tc>
      </w:tr>
      <w:tr w:rsidR="009D231B" w:rsidRPr="00D712D0" w:rsidTr="000D6C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9" w:type="dxa"/>
            <w:noWrap/>
            <w:hideMark/>
          </w:tcPr>
          <w:p w:rsidR="009D231B" w:rsidRPr="00D712D0" w:rsidRDefault="009D231B" w:rsidP="000D6C1C">
            <w:pPr>
              <w:jc w:val="center"/>
              <w:rPr>
                <w:rFonts w:ascii="Times New Roman" w:eastAsia="Times New Roman" w:hAnsi="Times New Roman" w:cs="Times New Roman"/>
                <w:color w:val="000000"/>
                <w:sz w:val="24"/>
                <w:szCs w:val="24"/>
                <w:lang w:val="ru-RU" w:eastAsia="ru-RU"/>
              </w:rPr>
            </w:pPr>
            <w:r w:rsidRPr="00D712D0">
              <w:rPr>
                <w:rFonts w:ascii="Times New Roman" w:eastAsia="Times New Roman" w:hAnsi="Times New Roman" w:cs="Times New Roman"/>
                <w:color w:val="000000"/>
                <w:sz w:val="24"/>
                <w:szCs w:val="24"/>
                <w:lang w:val="ru-RU" w:eastAsia="ru-RU"/>
              </w:rPr>
              <w:t>1</w:t>
            </w:r>
          </w:p>
        </w:tc>
        <w:tc>
          <w:tcPr>
            <w:tcW w:w="1482" w:type="dxa"/>
            <w:noWrap/>
            <w:hideMark/>
          </w:tcPr>
          <w:p w:rsidR="009D231B" w:rsidRPr="00D712D0" w:rsidRDefault="009D231B" w:rsidP="000D6C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D712D0">
              <w:rPr>
                <w:rFonts w:ascii="Times New Roman" w:eastAsia="Times New Roman" w:hAnsi="Times New Roman" w:cs="Times New Roman"/>
                <w:color w:val="000000"/>
                <w:sz w:val="24"/>
                <w:szCs w:val="24"/>
                <w:lang w:eastAsia="ru-RU"/>
              </w:rPr>
              <w:t>40%</w:t>
            </w:r>
          </w:p>
        </w:tc>
        <w:tc>
          <w:tcPr>
            <w:tcW w:w="1493" w:type="dxa"/>
            <w:noWrap/>
            <w:hideMark/>
          </w:tcPr>
          <w:p w:rsidR="009D231B" w:rsidRPr="00D712D0" w:rsidRDefault="009D231B" w:rsidP="000D6C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ru-RU" w:eastAsia="ru-RU"/>
              </w:rPr>
            </w:pPr>
            <w:r w:rsidRPr="00D712D0">
              <w:rPr>
                <w:rFonts w:ascii="Times New Roman" w:eastAsia="Times New Roman" w:hAnsi="Times New Roman" w:cs="Times New Roman"/>
                <w:color w:val="000000"/>
                <w:sz w:val="24"/>
                <w:szCs w:val="24"/>
                <w:lang w:val="ru-RU" w:eastAsia="ru-RU"/>
              </w:rPr>
              <w:t>503855.9636</w:t>
            </w:r>
          </w:p>
        </w:tc>
        <w:tc>
          <w:tcPr>
            <w:tcW w:w="2420" w:type="dxa"/>
            <w:noWrap/>
            <w:hideMark/>
          </w:tcPr>
          <w:p w:rsidR="009D231B" w:rsidRPr="00D712D0" w:rsidRDefault="009D231B" w:rsidP="000D6C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ru-RU" w:eastAsia="ru-RU"/>
              </w:rPr>
            </w:pPr>
            <w:r w:rsidRPr="00D712D0">
              <w:rPr>
                <w:rFonts w:ascii="Times New Roman" w:eastAsia="Times New Roman" w:hAnsi="Times New Roman" w:cs="Times New Roman"/>
                <w:color w:val="000000"/>
                <w:sz w:val="24"/>
                <w:szCs w:val="24"/>
                <w:lang w:val="ru-RU" w:eastAsia="ru-RU"/>
              </w:rPr>
              <w:t>44239</w:t>
            </w:r>
          </w:p>
        </w:tc>
        <w:tc>
          <w:tcPr>
            <w:tcW w:w="2612" w:type="dxa"/>
            <w:noWrap/>
            <w:vAlign w:val="center"/>
            <w:hideMark/>
          </w:tcPr>
          <w:p w:rsidR="009D231B" w:rsidRPr="005F6F1C" w:rsidRDefault="009D231B" w:rsidP="000D6C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ru-RU"/>
              </w:rPr>
            </w:pPr>
            <w:r w:rsidRPr="00D712D0">
              <w:rPr>
                <w:rFonts w:ascii="Times New Roman" w:eastAsia="Times New Roman" w:hAnsi="Times New Roman" w:cs="Times New Roman"/>
                <w:color w:val="000000"/>
                <w:sz w:val="24"/>
                <w:szCs w:val="24"/>
                <w:lang w:val="ru-RU" w:eastAsia="ru-RU"/>
              </w:rPr>
              <w:t xml:space="preserve">                 22,290,215,537</w:t>
            </w:r>
          </w:p>
        </w:tc>
        <w:tc>
          <w:tcPr>
            <w:tcW w:w="1379" w:type="dxa"/>
            <w:noWrap/>
            <w:hideMark/>
          </w:tcPr>
          <w:p w:rsidR="009D231B" w:rsidRPr="00D712D0" w:rsidRDefault="009D231B" w:rsidP="000D6C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ru-RU" w:eastAsia="ru-RU"/>
              </w:rPr>
            </w:pPr>
            <w:r w:rsidRPr="00D712D0">
              <w:rPr>
                <w:rFonts w:ascii="Times New Roman" w:eastAsia="Times New Roman" w:hAnsi="Times New Roman" w:cs="Times New Roman"/>
                <w:color w:val="000000"/>
                <w:sz w:val="24"/>
                <w:szCs w:val="24"/>
                <w:lang w:val="ru-RU" w:eastAsia="ru-RU"/>
              </w:rPr>
              <w:t>10720.33</w:t>
            </w:r>
          </w:p>
        </w:tc>
      </w:tr>
      <w:tr w:rsidR="009D231B" w:rsidRPr="00D712D0" w:rsidTr="000D6C1C">
        <w:trPr>
          <w:trHeight w:val="300"/>
        </w:trPr>
        <w:tc>
          <w:tcPr>
            <w:cnfStyle w:val="001000000000" w:firstRow="0" w:lastRow="0" w:firstColumn="1" w:lastColumn="0" w:oddVBand="0" w:evenVBand="0" w:oddHBand="0" w:evenHBand="0" w:firstRowFirstColumn="0" w:firstRowLastColumn="0" w:lastRowFirstColumn="0" w:lastRowLastColumn="0"/>
            <w:tcW w:w="469" w:type="dxa"/>
            <w:noWrap/>
            <w:hideMark/>
          </w:tcPr>
          <w:p w:rsidR="009D231B" w:rsidRPr="00D712D0" w:rsidRDefault="009D231B" w:rsidP="000D6C1C">
            <w:pPr>
              <w:jc w:val="center"/>
              <w:rPr>
                <w:rFonts w:ascii="Times New Roman" w:eastAsia="Times New Roman" w:hAnsi="Times New Roman" w:cs="Times New Roman"/>
                <w:color w:val="000000"/>
                <w:sz w:val="24"/>
                <w:szCs w:val="24"/>
                <w:lang w:val="ru-RU" w:eastAsia="ru-RU"/>
              </w:rPr>
            </w:pPr>
            <w:r w:rsidRPr="00D712D0">
              <w:rPr>
                <w:rFonts w:ascii="Times New Roman" w:eastAsia="Times New Roman" w:hAnsi="Times New Roman" w:cs="Times New Roman"/>
                <w:color w:val="000000"/>
                <w:sz w:val="24"/>
                <w:szCs w:val="24"/>
                <w:lang w:val="ru-RU" w:eastAsia="ru-RU"/>
              </w:rPr>
              <w:t>2</w:t>
            </w:r>
          </w:p>
        </w:tc>
        <w:tc>
          <w:tcPr>
            <w:tcW w:w="1482" w:type="dxa"/>
            <w:noWrap/>
            <w:hideMark/>
          </w:tcPr>
          <w:p w:rsidR="009D231B" w:rsidRPr="00D712D0" w:rsidRDefault="009D231B" w:rsidP="000D6C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D712D0">
              <w:rPr>
                <w:rFonts w:ascii="Times New Roman" w:eastAsia="Times New Roman" w:hAnsi="Times New Roman" w:cs="Times New Roman"/>
                <w:color w:val="000000"/>
                <w:sz w:val="24"/>
                <w:szCs w:val="24"/>
                <w:lang w:eastAsia="ru-RU"/>
              </w:rPr>
              <w:t>30%</w:t>
            </w:r>
          </w:p>
        </w:tc>
        <w:tc>
          <w:tcPr>
            <w:tcW w:w="1493" w:type="dxa"/>
            <w:noWrap/>
            <w:hideMark/>
          </w:tcPr>
          <w:p w:rsidR="009D231B" w:rsidRPr="00D712D0" w:rsidRDefault="009D231B" w:rsidP="000D6C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ru-RU" w:eastAsia="ru-RU"/>
              </w:rPr>
            </w:pPr>
            <w:r w:rsidRPr="00D712D0">
              <w:rPr>
                <w:rFonts w:ascii="Times New Roman" w:eastAsia="Times New Roman" w:hAnsi="Times New Roman" w:cs="Times New Roman"/>
                <w:color w:val="000000"/>
                <w:sz w:val="24"/>
                <w:szCs w:val="24"/>
                <w:lang w:val="ru-RU" w:eastAsia="ru-RU"/>
              </w:rPr>
              <w:t>377891.9727</w:t>
            </w:r>
          </w:p>
        </w:tc>
        <w:tc>
          <w:tcPr>
            <w:tcW w:w="2420" w:type="dxa"/>
            <w:noWrap/>
            <w:hideMark/>
          </w:tcPr>
          <w:p w:rsidR="009D231B" w:rsidRPr="00D712D0" w:rsidRDefault="009D231B" w:rsidP="000D6C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ru-RU" w:eastAsia="ru-RU"/>
              </w:rPr>
            </w:pPr>
            <w:r w:rsidRPr="00D712D0">
              <w:rPr>
                <w:rFonts w:ascii="Times New Roman" w:eastAsia="Times New Roman" w:hAnsi="Times New Roman" w:cs="Times New Roman"/>
                <w:color w:val="000000"/>
                <w:sz w:val="24"/>
                <w:szCs w:val="24"/>
                <w:lang w:val="ru-RU" w:eastAsia="ru-RU"/>
              </w:rPr>
              <w:t>44239</w:t>
            </w:r>
          </w:p>
        </w:tc>
        <w:tc>
          <w:tcPr>
            <w:tcW w:w="2612" w:type="dxa"/>
            <w:noWrap/>
            <w:vAlign w:val="center"/>
            <w:hideMark/>
          </w:tcPr>
          <w:p w:rsidR="009D231B" w:rsidRPr="005F6F1C" w:rsidRDefault="009D231B" w:rsidP="000D6C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ru-RU"/>
              </w:rPr>
            </w:pPr>
            <w:r w:rsidRPr="00D712D0">
              <w:rPr>
                <w:rFonts w:ascii="Times New Roman" w:eastAsia="Times New Roman" w:hAnsi="Times New Roman" w:cs="Times New Roman"/>
                <w:color w:val="000000"/>
                <w:sz w:val="24"/>
                <w:szCs w:val="24"/>
                <w:lang w:val="ru-RU" w:eastAsia="ru-RU"/>
              </w:rPr>
              <w:t xml:space="preserve">                    16,717,661,653</w:t>
            </w:r>
          </w:p>
        </w:tc>
        <w:tc>
          <w:tcPr>
            <w:tcW w:w="1379" w:type="dxa"/>
            <w:noWrap/>
            <w:hideMark/>
          </w:tcPr>
          <w:p w:rsidR="009D231B" w:rsidRPr="00D712D0" w:rsidRDefault="009D231B" w:rsidP="000D6C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ru-RU" w:eastAsia="ru-RU"/>
              </w:rPr>
            </w:pPr>
            <w:r w:rsidRPr="00D712D0">
              <w:rPr>
                <w:rFonts w:ascii="Times New Roman" w:eastAsia="Times New Roman" w:hAnsi="Times New Roman" w:cs="Times New Roman"/>
                <w:color w:val="000000"/>
                <w:sz w:val="24"/>
                <w:szCs w:val="24"/>
                <w:lang w:val="ru-RU" w:eastAsia="ru-RU"/>
              </w:rPr>
              <w:t>8040.25</w:t>
            </w:r>
          </w:p>
        </w:tc>
      </w:tr>
      <w:tr w:rsidR="009D231B" w:rsidRPr="00D712D0" w:rsidTr="000D6C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9" w:type="dxa"/>
            <w:noWrap/>
            <w:hideMark/>
          </w:tcPr>
          <w:p w:rsidR="009D231B" w:rsidRPr="00D712D0" w:rsidRDefault="009D231B" w:rsidP="000D6C1C">
            <w:pPr>
              <w:jc w:val="center"/>
              <w:rPr>
                <w:rFonts w:ascii="Times New Roman" w:eastAsia="Times New Roman" w:hAnsi="Times New Roman" w:cs="Times New Roman"/>
                <w:color w:val="000000"/>
                <w:sz w:val="24"/>
                <w:szCs w:val="24"/>
                <w:lang w:val="ru-RU" w:eastAsia="ru-RU"/>
              </w:rPr>
            </w:pPr>
            <w:r w:rsidRPr="00D712D0">
              <w:rPr>
                <w:rFonts w:ascii="Times New Roman" w:eastAsia="Times New Roman" w:hAnsi="Times New Roman" w:cs="Times New Roman"/>
                <w:color w:val="000000"/>
                <w:sz w:val="24"/>
                <w:szCs w:val="24"/>
                <w:lang w:val="ru-RU" w:eastAsia="ru-RU"/>
              </w:rPr>
              <w:t>3</w:t>
            </w:r>
          </w:p>
        </w:tc>
        <w:tc>
          <w:tcPr>
            <w:tcW w:w="1482" w:type="dxa"/>
            <w:noWrap/>
            <w:hideMark/>
          </w:tcPr>
          <w:p w:rsidR="009D231B" w:rsidRPr="00D712D0" w:rsidRDefault="009D231B" w:rsidP="000D6C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D712D0">
              <w:rPr>
                <w:rFonts w:ascii="Times New Roman" w:eastAsia="Times New Roman" w:hAnsi="Times New Roman" w:cs="Times New Roman"/>
                <w:color w:val="000000"/>
                <w:sz w:val="24"/>
                <w:szCs w:val="24"/>
                <w:lang w:eastAsia="ru-RU"/>
              </w:rPr>
              <w:t>25%</w:t>
            </w:r>
          </w:p>
        </w:tc>
        <w:tc>
          <w:tcPr>
            <w:tcW w:w="1493" w:type="dxa"/>
            <w:noWrap/>
            <w:hideMark/>
          </w:tcPr>
          <w:p w:rsidR="009D231B" w:rsidRPr="00D712D0" w:rsidRDefault="009D231B" w:rsidP="000D6C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ru-RU" w:eastAsia="ru-RU"/>
              </w:rPr>
            </w:pPr>
            <w:r w:rsidRPr="00D712D0">
              <w:rPr>
                <w:rFonts w:ascii="Times New Roman" w:eastAsia="Times New Roman" w:hAnsi="Times New Roman" w:cs="Times New Roman"/>
                <w:color w:val="000000"/>
                <w:sz w:val="24"/>
                <w:szCs w:val="24"/>
                <w:lang w:val="ru-RU" w:eastAsia="ru-RU"/>
              </w:rPr>
              <w:t>314909.9773</w:t>
            </w:r>
          </w:p>
        </w:tc>
        <w:tc>
          <w:tcPr>
            <w:tcW w:w="2420" w:type="dxa"/>
            <w:noWrap/>
            <w:hideMark/>
          </w:tcPr>
          <w:p w:rsidR="009D231B" w:rsidRPr="00D712D0" w:rsidRDefault="009D231B" w:rsidP="000D6C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ru-RU" w:eastAsia="ru-RU"/>
              </w:rPr>
            </w:pPr>
            <w:r w:rsidRPr="00D712D0">
              <w:rPr>
                <w:rFonts w:ascii="Times New Roman" w:eastAsia="Times New Roman" w:hAnsi="Times New Roman" w:cs="Times New Roman"/>
                <w:color w:val="000000"/>
                <w:sz w:val="24"/>
                <w:szCs w:val="24"/>
                <w:lang w:val="ru-RU" w:eastAsia="ru-RU"/>
              </w:rPr>
              <w:t>44239</w:t>
            </w:r>
          </w:p>
        </w:tc>
        <w:tc>
          <w:tcPr>
            <w:tcW w:w="2612" w:type="dxa"/>
            <w:noWrap/>
            <w:vAlign w:val="center"/>
            <w:hideMark/>
          </w:tcPr>
          <w:p w:rsidR="009D231B" w:rsidRPr="005F6F1C" w:rsidRDefault="009D231B" w:rsidP="000D6C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en-US" w:eastAsia="ru-RU"/>
              </w:rPr>
            </w:pPr>
            <w:r w:rsidRPr="00D712D0">
              <w:rPr>
                <w:rFonts w:ascii="Times New Roman" w:eastAsia="Times New Roman" w:hAnsi="Times New Roman" w:cs="Times New Roman"/>
                <w:color w:val="000000"/>
                <w:sz w:val="24"/>
                <w:szCs w:val="24"/>
                <w:lang w:val="ru-RU" w:eastAsia="ru-RU"/>
              </w:rPr>
              <w:t xml:space="preserve">                    13,931,384,711</w:t>
            </w:r>
          </w:p>
        </w:tc>
        <w:tc>
          <w:tcPr>
            <w:tcW w:w="1379" w:type="dxa"/>
            <w:noWrap/>
            <w:hideMark/>
          </w:tcPr>
          <w:p w:rsidR="009D231B" w:rsidRPr="00D712D0" w:rsidRDefault="009D231B" w:rsidP="000D6C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ru-RU" w:eastAsia="ru-RU"/>
              </w:rPr>
            </w:pPr>
            <w:r w:rsidRPr="00D712D0">
              <w:rPr>
                <w:rFonts w:ascii="Times New Roman" w:eastAsia="Times New Roman" w:hAnsi="Times New Roman" w:cs="Times New Roman"/>
                <w:color w:val="000000"/>
                <w:sz w:val="24"/>
                <w:szCs w:val="24"/>
                <w:lang w:val="ru-RU" w:eastAsia="ru-RU"/>
              </w:rPr>
              <w:t>6700.21</w:t>
            </w:r>
          </w:p>
        </w:tc>
      </w:tr>
      <w:tr w:rsidR="009D231B" w:rsidRPr="00D712D0" w:rsidTr="000D6C1C">
        <w:trPr>
          <w:trHeight w:val="300"/>
        </w:trPr>
        <w:tc>
          <w:tcPr>
            <w:cnfStyle w:val="001000000000" w:firstRow="0" w:lastRow="0" w:firstColumn="1" w:lastColumn="0" w:oddVBand="0" w:evenVBand="0" w:oddHBand="0" w:evenHBand="0" w:firstRowFirstColumn="0" w:firstRowLastColumn="0" w:lastRowFirstColumn="0" w:lastRowLastColumn="0"/>
            <w:tcW w:w="9855" w:type="dxa"/>
            <w:gridSpan w:val="6"/>
            <w:noWrap/>
            <w:hideMark/>
          </w:tcPr>
          <w:p w:rsidR="009D231B" w:rsidRPr="00D712D0" w:rsidRDefault="009D231B" w:rsidP="007A550F">
            <w:pPr>
              <w:rPr>
                <w:rFonts w:ascii="Times New Roman" w:eastAsia="Times New Roman" w:hAnsi="Times New Roman" w:cs="Times New Roman"/>
                <w:b w:val="0"/>
                <w:i/>
                <w:color w:val="000000"/>
                <w:sz w:val="24"/>
                <w:szCs w:val="24"/>
                <w:lang w:val="en-US" w:eastAsia="ru-RU"/>
              </w:rPr>
            </w:pPr>
            <w:r w:rsidRPr="00D712D0">
              <w:rPr>
                <w:rFonts w:ascii="Times New Roman" w:eastAsia="Times New Roman" w:hAnsi="Times New Roman" w:cs="Times New Roman"/>
                <w:b w:val="0"/>
                <w:i/>
                <w:color w:val="000000"/>
                <w:sz w:val="24"/>
                <w:szCs w:val="24"/>
                <w:lang w:val="en-US" w:eastAsia="ru-RU"/>
              </w:rPr>
              <w:t>*</w:t>
            </w:r>
            <w:r w:rsidR="007A550F" w:rsidRPr="00D712D0">
              <w:rPr>
                <w:rFonts w:ascii="Times New Roman" w:eastAsia="Times New Roman" w:hAnsi="Times New Roman" w:cs="Times New Roman"/>
                <w:b w:val="0"/>
                <w:i/>
                <w:color w:val="000000"/>
                <w:sz w:val="24"/>
                <w:szCs w:val="24"/>
                <w:lang w:val="en-US" w:eastAsia="ru-RU"/>
              </w:rPr>
              <w:t>By Max possible number of pensioners we mean the greatest possible number of elderly population who will have rights of receiving full scale pension support (in this case we assume the migration and death rates at 0)</w:t>
            </w:r>
          </w:p>
        </w:tc>
      </w:tr>
    </w:tbl>
    <w:p w:rsidR="009D231B" w:rsidRPr="00D712D0" w:rsidRDefault="009D231B" w:rsidP="00D17E32">
      <w:pPr>
        <w:spacing w:after="0" w:line="240" w:lineRule="auto"/>
        <w:jc w:val="both"/>
        <w:rPr>
          <w:rFonts w:ascii="Times New Roman" w:hAnsi="Times New Roman" w:cs="Times New Roman"/>
          <w:sz w:val="24"/>
          <w:szCs w:val="24"/>
          <w:lang w:val="en-US"/>
        </w:rPr>
      </w:pPr>
    </w:p>
    <w:p w:rsidR="009D231B" w:rsidRPr="00D712D0" w:rsidRDefault="009D231B" w:rsidP="009D231B">
      <w:pPr>
        <w:spacing w:after="0" w:line="360" w:lineRule="auto"/>
        <w:ind w:firstLine="709"/>
        <w:jc w:val="both"/>
        <w:rPr>
          <w:rStyle w:val="a6"/>
          <w:rFonts w:ascii="Times New Roman" w:hAnsi="Times New Roman"/>
          <w:i/>
          <w:lang w:val="en-US"/>
        </w:rPr>
      </w:pPr>
      <w:r w:rsidRPr="00D712D0">
        <w:rPr>
          <w:rStyle w:val="a6"/>
          <w:rFonts w:ascii="Times New Roman" w:hAnsi="Times New Roman"/>
          <w:i/>
          <w:lang w:val="en-US"/>
        </w:rPr>
        <w:t xml:space="preserve">1.2. The minimal consumption </w:t>
      </w:r>
      <w:r w:rsidR="008C5359" w:rsidRPr="00D712D0">
        <w:rPr>
          <w:rStyle w:val="a6"/>
          <w:rFonts w:ascii="Times New Roman" w:hAnsi="Times New Roman"/>
          <w:i/>
          <w:lang w:val="en-US"/>
        </w:rPr>
        <w:t>basket</w:t>
      </w:r>
      <w:r w:rsidRPr="00D712D0">
        <w:rPr>
          <w:rStyle w:val="a6"/>
          <w:rFonts w:ascii="Times New Roman" w:hAnsi="Times New Roman"/>
          <w:i/>
          <w:lang w:val="en-US"/>
        </w:rPr>
        <w:t xml:space="preserve"> for the elderly model</w:t>
      </w:r>
    </w:p>
    <w:p w:rsidR="009D231B" w:rsidRPr="00D712D0" w:rsidRDefault="00E94BAE" w:rsidP="0067365C">
      <w:pPr>
        <w:spacing w:after="0" w:line="240" w:lineRule="auto"/>
        <w:ind w:firstLine="708"/>
        <w:jc w:val="both"/>
        <w:rPr>
          <w:rFonts w:ascii="Times New Roman" w:hAnsi="Times New Roman" w:cs="Times New Roman"/>
          <w:sz w:val="24"/>
          <w:szCs w:val="24"/>
          <w:lang w:val="en-US"/>
        </w:rPr>
      </w:pPr>
      <w:r w:rsidRPr="00D712D0">
        <w:rPr>
          <w:rFonts w:ascii="Times New Roman" w:hAnsi="Times New Roman" w:cs="Times New Roman"/>
          <w:sz w:val="24"/>
          <w:szCs w:val="24"/>
          <w:lang w:val="en-US"/>
        </w:rPr>
        <w:t>The other way to calculate the pension support level is to set a special MCB and CPI for the elderly. In this case the government will be setting the replacement rate relative to the MCB.</w:t>
      </w:r>
    </w:p>
    <w:p w:rsidR="0067365C" w:rsidRPr="00D712D0" w:rsidRDefault="0067365C" w:rsidP="0067365C">
      <w:pPr>
        <w:spacing w:after="0" w:line="240" w:lineRule="auto"/>
        <w:ind w:firstLine="708"/>
        <w:jc w:val="both"/>
        <w:rPr>
          <w:rFonts w:ascii="Times New Roman" w:hAnsi="Times New Roman" w:cs="Times New Roman"/>
          <w:sz w:val="24"/>
          <w:szCs w:val="24"/>
          <w:lang w:val="en-US"/>
        </w:rPr>
      </w:pPr>
      <w:r w:rsidRPr="00D712D0">
        <w:rPr>
          <w:rFonts w:ascii="Times New Roman" w:hAnsi="Times New Roman" w:cs="Times New Roman"/>
          <w:sz w:val="24"/>
          <w:szCs w:val="24"/>
          <w:lang w:val="en-US"/>
        </w:rPr>
        <w:t xml:space="preserve">The necessity of elderly MCB is explained by the fact, that an </w:t>
      </w:r>
      <w:proofErr w:type="spellStart"/>
      <w:r w:rsidRPr="00D712D0">
        <w:rPr>
          <w:rFonts w:ascii="Times New Roman" w:hAnsi="Times New Roman" w:cs="Times New Roman"/>
          <w:sz w:val="24"/>
          <w:szCs w:val="24"/>
          <w:lang w:val="en-US"/>
        </w:rPr>
        <w:t>individuals</w:t>
      </w:r>
      <w:proofErr w:type="spellEnd"/>
      <w:r w:rsidRPr="00D712D0">
        <w:rPr>
          <w:rFonts w:ascii="Times New Roman" w:hAnsi="Times New Roman" w:cs="Times New Roman"/>
          <w:sz w:val="24"/>
          <w:szCs w:val="24"/>
          <w:lang w:val="en-US"/>
        </w:rPr>
        <w:t xml:space="preserve"> consumptions changes over lifetime, however at some point, which is </w:t>
      </w:r>
      <w:r w:rsidR="000D6C1C" w:rsidRPr="00D712D0">
        <w:rPr>
          <w:rFonts w:ascii="Times New Roman" w:hAnsi="Times New Roman" w:cs="Times New Roman"/>
          <w:sz w:val="24"/>
          <w:szCs w:val="24"/>
          <w:lang w:val="en-US"/>
        </w:rPr>
        <w:t>considered</w:t>
      </w:r>
      <w:r w:rsidRPr="00D712D0">
        <w:rPr>
          <w:rFonts w:ascii="Times New Roman" w:hAnsi="Times New Roman" w:cs="Times New Roman"/>
          <w:sz w:val="24"/>
          <w:szCs w:val="24"/>
          <w:lang w:val="en-US"/>
        </w:rPr>
        <w:t xml:space="preserve"> to be the pensionable age, the consumption changes are more </w:t>
      </w:r>
      <w:r w:rsidR="000D6C1C" w:rsidRPr="00D712D0">
        <w:rPr>
          <w:rFonts w:ascii="Times New Roman" w:hAnsi="Times New Roman" w:cs="Times New Roman"/>
          <w:sz w:val="24"/>
          <w:szCs w:val="24"/>
          <w:lang w:val="en-US"/>
        </w:rPr>
        <w:t>noticeable</w:t>
      </w:r>
      <w:r w:rsidRPr="00D712D0">
        <w:rPr>
          <w:rFonts w:ascii="Times New Roman" w:hAnsi="Times New Roman" w:cs="Times New Roman"/>
          <w:sz w:val="24"/>
          <w:szCs w:val="24"/>
          <w:lang w:val="en-US"/>
        </w:rPr>
        <w:t xml:space="preserve">. Elderly people </w:t>
      </w:r>
      <w:r w:rsidR="000D6C1C" w:rsidRPr="00D712D0">
        <w:rPr>
          <w:rFonts w:ascii="Times New Roman" w:hAnsi="Times New Roman" w:cs="Times New Roman"/>
          <w:sz w:val="24"/>
          <w:szCs w:val="24"/>
          <w:lang w:val="en-US"/>
        </w:rPr>
        <w:t>consumption</w:t>
      </w:r>
      <w:r w:rsidRPr="00D712D0">
        <w:rPr>
          <w:rFonts w:ascii="Times New Roman" w:hAnsi="Times New Roman" w:cs="Times New Roman"/>
          <w:sz w:val="24"/>
          <w:szCs w:val="24"/>
          <w:lang w:val="en-US"/>
        </w:rPr>
        <w:t xml:space="preserve"> bundle is </w:t>
      </w:r>
      <w:r w:rsidR="000D6C1C" w:rsidRPr="00D712D0">
        <w:rPr>
          <w:rFonts w:ascii="Times New Roman" w:hAnsi="Times New Roman" w:cs="Times New Roman"/>
          <w:sz w:val="24"/>
          <w:szCs w:val="24"/>
          <w:lang w:val="en-US"/>
        </w:rPr>
        <w:t>usually</w:t>
      </w:r>
      <w:r w:rsidRPr="00D712D0">
        <w:rPr>
          <w:rFonts w:ascii="Times New Roman" w:hAnsi="Times New Roman" w:cs="Times New Roman"/>
          <w:sz w:val="24"/>
          <w:szCs w:val="24"/>
          <w:lang w:val="en-US"/>
        </w:rPr>
        <w:t xml:space="preserve"> much different from the one of the working population</w:t>
      </w:r>
      <w:r w:rsidR="009651F3" w:rsidRPr="00D712D0">
        <w:rPr>
          <w:rFonts w:ascii="Times New Roman" w:hAnsi="Times New Roman" w:cs="Times New Roman"/>
          <w:sz w:val="24"/>
          <w:szCs w:val="24"/>
          <w:lang w:val="en-US"/>
        </w:rPr>
        <w:t xml:space="preserve">, meaning that the CPI for the elderly might also be different. Thus the government may over or underpay the elderly. </w:t>
      </w:r>
    </w:p>
    <w:p w:rsidR="009651F3" w:rsidRPr="00D712D0" w:rsidRDefault="009651F3" w:rsidP="0067365C">
      <w:pPr>
        <w:spacing w:after="0" w:line="240" w:lineRule="auto"/>
        <w:ind w:firstLine="708"/>
        <w:jc w:val="both"/>
        <w:rPr>
          <w:rFonts w:ascii="Times New Roman" w:hAnsi="Times New Roman" w:cs="Times New Roman"/>
          <w:sz w:val="24"/>
          <w:szCs w:val="24"/>
          <w:lang w:val="en-US"/>
        </w:rPr>
      </w:pPr>
      <w:r w:rsidRPr="00D712D0">
        <w:rPr>
          <w:rFonts w:ascii="Times New Roman" w:hAnsi="Times New Roman" w:cs="Times New Roman"/>
          <w:sz w:val="24"/>
          <w:szCs w:val="24"/>
          <w:lang w:val="en-US"/>
        </w:rPr>
        <w:lastRenderedPageBreak/>
        <w:t xml:space="preserve">The concept of the elderly CPI has been proposed in U.S.A. Congress and </w:t>
      </w:r>
      <w:proofErr w:type="gramStart"/>
      <w:r w:rsidRPr="00D712D0">
        <w:rPr>
          <w:rFonts w:ascii="Times New Roman" w:hAnsi="Times New Roman" w:cs="Times New Roman"/>
          <w:sz w:val="24"/>
          <w:szCs w:val="24"/>
          <w:lang w:val="en-US"/>
        </w:rPr>
        <w:t>Israel,</w:t>
      </w:r>
      <w:proofErr w:type="gramEnd"/>
      <w:r w:rsidRPr="00D712D0">
        <w:rPr>
          <w:rFonts w:ascii="Times New Roman" w:hAnsi="Times New Roman" w:cs="Times New Roman"/>
          <w:sz w:val="24"/>
          <w:szCs w:val="24"/>
          <w:lang w:val="en-US"/>
        </w:rPr>
        <w:t xml:space="preserve"> however the concept is still in experimental development stage. </w:t>
      </w:r>
    </w:p>
    <w:p w:rsidR="004F2C4B" w:rsidRPr="00D712D0" w:rsidRDefault="008F3EA3" w:rsidP="0067365C">
      <w:pPr>
        <w:spacing w:after="0" w:line="240" w:lineRule="auto"/>
        <w:ind w:firstLine="708"/>
        <w:jc w:val="both"/>
        <w:rPr>
          <w:rFonts w:ascii="Times New Roman" w:hAnsi="Times New Roman" w:cs="Times New Roman"/>
          <w:sz w:val="24"/>
          <w:szCs w:val="24"/>
          <w:lang w:val="en-US"/>
        </w:rPr>
      </w:pPr>
      <w:r w:rsidRPr="00D712D0">
        <w:rPr>
          <w:rFonts w:ascii="Times New Roman" w:hAnsi="Times New Roman" w:cs="Times New Roman"/>
          <w:sz w:val="24"/>
          <w:szCs w:val="24"/>
          <w:lang w:val="en-US"/>
        </w:rPr>
        <w:t>Note that the importance of the elderly CPI does not decrease as the transition to multi-pillar system takes place. The main</w:t>
      </w:r>
      <w:r w:rsidR="00B737A1" w:rsidRPr="00D712D0">
        <w:rPr>
          <w:rFonts w:ascii="Times New Roman" w:hAnsi="Times New Roman" w:cs="Times New Roman"/>
          <w:sz w:val="24"/>
          <w:szCs w:val="24"/>
          <w:lang w:val="en-US"/>
        </w:rPr>
        <w:t xml:space="preserve"> point here lies in the announcement of CBA, regarding regulations on pension fund investment security. The pension fund managers will have to choose between risky and high profitable securities, or the safe and low paying ones. However there is one more factor in </w:t>
      </w:r>
      <w:proofErr w:type="gramStart"/>
      <w:r w:rsidR="00B737A1" w:rsidRPr="00D712D0">
        <w:rPr>
          <w:rFonts w:ascii="Times New Roman" w:hAnsi="Times New Roman" w:cs="Times New Roman"/>
          <w:sz w:val="24"/>
          <w:szCs w:val="24"/>
          <w:lang w:val="en-US"/>
        </w:rPr>
        <w:t>play,</w:t>
      </w:r>
      <w:proofErr w:type="gramEnd"/>
      <w:r w:rsidR="00B737A1" w:rsidRPr="00D712D0">
        <w:rPr>
          <w:rFonts w:ascii="Times New Roman" w:hAnsi="Times New Roman" w:cs="Times New Roman"/>
          <w:sz w:val="24"/>
          <w:szCs w:val="24"/>
          <w:lang w:val="en-US"/>
        </w:rPr>
        <w:t xml:space="preserve"> and that is the CPI </w:t>
      </w:r>
      <w:proofErr w:type="spellStart"/>
      <w:r w:rsidR="00B737A1" w:rsidRPr="00D712D0">
        <w:rPr>
          <w:rFonts w:ascii="Times New Roman" w:hAnsi="Times New Roman" w:cs="Times New Roman"/>
          <w:sz w:val="24"/>
          <w:szCs w:val="24"/>
          <w:lang w:val="en-US"/>
        </w:rPr>
        <w:t>ot</w:t>
      </w:r>
      <w:proofErr w:type="spellEnd"/>
      <w:r w:rsidR="00B737A1" w:rsidRPr="00D712D0">
        <w:rPr>
          <w:rFonts w:ascii="Times New Roman" w:hAnsi="Times New Roman" w:cs="Times New Roman"/>
          <w:sz w:val="24"/>
          <w:szCs w:val="24"/>
          <w:lang w:val="en-US"/>
        </w:rPr>
        <w:t xml:space="preserve"> the inflation rate. The pension funds will have to accomplish significant levels of returns from </w:t>
      </w:r>
      <w:r w:rsidR="000D6C1C" w:rsidRPr="00D712D0">
        <w:rPr>
          <w:rFonts w:ascii="Times New Roman" w:hAnsi="Times New Roman" w:cs="Times New Roman"/>
          <w:sz w:val="24"/>
          <w:szCs w:val="24"/>
          <w:lang w:val="en-US"/>
        </w:rPr>
        <w:t>investments</w:t>
      </w:r>
      <w:r w:rsidR="00B737A1" w:rsidRPr="00D712D0">
        <w:rPr>
          <w:rFonts w:ascii="Times New Roman" w:hAnsi="Times New Roman" w:cs="Times New Roman"/>
          <w:sz w:val="24"/>
          <w:szCs w:val="24"/>
          <w:lang w:val="en-US"/>
        </w:rPr>
        <w:t xml:space="preserve">, and may have to invest into more risky obligations as the inflation grows. The international practice has shown that the elderly CPI is usually less than the “normal” CPI, meaning that the usage of elderly CPI </w:t>
      </w:r>
      <w:r w:rsidR="00351D2F" w:rsidRPr="00D712D0">
        <w:rPr>
          <w:rFonts w:ascii="Times New Roman" w:hAnsi="Times New Roman" w:cs="Times New Roman"/>
          <w:sz w:val="24"/>
          <w:szCs w:val="24"/>
          <w:lang w:val="en-US"/>
        </w:rPr>
        <w:t xml:space="preserve">will allow for safer investments. </w:t>
      </w:r>
    </w:p>
    <w:p w:rsidR="009651F3" w:rsidRPr="00D712D0" w:rsidRDefault="005D698A" w:rsidP="0067365C">
      <w:pPr>
        <w:spacing w:after="0" w:line="240" w:lineRule="auto"/>
        <w:ind w:firstLine="708"/>
        <w:jc w:val="both"/>
        <w:rPr>
          <w:rFonts w:ascii="Times New Roman" w:hAnsi="Times New Roman" w:cs="Times New Roman"/>
          <w:sz w:val="24"/>
          <w:szCs w:val="24"/>
          <w:lang w:val="en-US"/>
        </w:rPr>
      </w:pPr>
      <w:r w:rsidRPr="00D712D0">
        <w:rPr>
          <w:rFonts w:ascii="Times New Roman" w:hAnsi="Times New Roman" w:cs="Times New Roman"/>
          <w:sz w:val="24"/>
          <w:szCs w:val="24"/>
          <w:lang w:val="en-US"/>
        </w:rPr>
        <w:t>At this point in research we will assume that the MCB for the elderly is the same as for the working age population</w:t>
      </w:r>
      <w:r w:rsidR="00A22121" w:rsidRPr="00D712D0">
        <w:rPr>
          <w:rStyle w:val="a5"/>
          <w:rFonts w:ascii="Times New Roman" w:hAnsi="Times New Roman" w:cs="Times New Roman"/>
          <w:sz w:val="24"/>
          <w:szCs w:val="24"/>
          <w:lang w:val="en-US"/>
        </w:rPr>
        <w:footnoteReference w:id="7"/>
      </w:r>
      <w:r w:rsidRPr="00D712D0">
        <w:rPr>
          <w:rFonts w:ascii="Times New Roman" w:hAnsi="Times New Roman" w:cs="Times New Roman"/>
          <w:sz w:val="24"/>
          <w:szCs w:val="24"/>
          <w:lang w:val="en-US"/>
        </w:rPr>
        <w:t>, meaning that the CPI i</w:t>
      </w:r>
      <w:r w:rsidR="00224F1B" w:rsidRPr="00D712D0">
        <w:rPr>
          <w:rFonts w:ascii="Times New Roman" w:hAnsi="Times New Roman" w:cs="Times New Roman"/>
          <w:sz w:val="24"/>
          <w:szCs w:val="24"/>
          <w:lang w:val="en-US"/>
        </w:rPr>
        <w:t xml:space="preserve">s also the same, thus we are going to fix it at the projected level of 4.5% yearly. </w:t>
      </w:r>
      <w:r w:rsidR="00A22121" w:rsidRPr="00D712D0">
        <w:rPr>
          <w:rFonts w:ascii="Times New Roman" w:hAnsi="Times New Roman" w:cs="Times New Roman"/>
          <w:sz w:val="24"/>
          <w:szCs w:val="24"/>
          <w:lang w:val="en-US"/>
        </w:rPr>
        <w:t xml:space="preserve"> </w:t>
      </w:r>
    </w:p>
    <w:p w:rsidR="00A22121" w:rsidRPr="00D712D0" w:rsidRDefault="00A22121" w:rsidP="0067365C">
      <w:pPr>
        <w:spacing w:after="0" w:line="240" w:lineRule="auto"/>
        <w:ind w:firstLine="708"/>
        <w:jc w:val="both"/>
        <w:rPr>
          <w:rFonts w:ascii="Times New Roman" w:hAnsi="Times New Roman" w:cs="Times New Roman"/>
          <w:sz w:val="24"/>
          <w:szCs w:val="24"/>
          <w:lang w:val="en-US"/>
        </w:rPr>
      </w:pPr>
      <w:r w:rsidRPr="00D712D0">
        <w:rPr>
          <w:rFonts w:ascii="Times New Roman" w:hAnsi="Times New Roman" w:cs="Times New Roman"/>
          <w:sz w:val="24"/>
          <w:szCs w:val="24"/>
          <w:lang w:val="en-US"/>
        </w:rPr>
        <w:t xml:space="preserve">The equation to calculate the pension support level is the same as in the 1.1 model, however here we are replacing the AW with </w:t>
      </w:r>
      <w:proofErr w:type="gramStart"/>
      <w:r w:rsidRPr="00D712D0">
        <w:rPr>
          <w:rFonts w:ascii="Times New Roman" w:hAnsi="Times New Roman" w:cs="Times New Roman"/>
          <w:sz w:val="24"/>
          <w:szCs w:val="24"/>
          <w:lang w:val="en-US"/>
        </w:rPr>
        <w:t>B,</w:t>
      </w:r>
      <w:proofErr w:type="gramEnd"/>
      <w:r w:rsidRPr="00D712D0">
        <w:rPr>
          <w:rFonts w:ascii="Times New Roman" w:hAnsi="Times New Roman" w:cs="Times New Roman"/>
          <w:sz w:val="24"/>
          <w:szCs w:val="24"/>
          <w:lang w:val="en-US"/>
        </w:rPr>
        <w:t xml:space="preserve"> the latter is </w:t>
      </w:r>
      <w:proofErr w:type="spellStart"/>
      <w:r w:rsidRPr="00D712D0">
        <w:rPr>
          <w:rFonts w:ascii="Times New Roman" w:hAnsi="Times New Roman" w:cs="Times New Roman"/>
          <w:sz w:val="24"/>
          <w:szCs w:val="24"/>
          <w:lang w:val="en-US"/>
        </w:rPr>
        <w:t>th</w:t>
      </w:r>
      <w:proofErr w:type="spellEnd"/>
      <w:r w:rsidRPr="00D712D0">
        <w:rPr>
          <w:rFonts w:ascii="Times New Roman" w:hAnsi="Times New Roman" w:cs="Times New Roman"/>
          <w:sz w:val="24"/>
          <w:szCs w:val="24"/>
          <w:lang w:val="en-US"/>
        </w:rPr>
        <w:t xml:space="preserve"> MCB for the elderly. Thus we get the following equation:</w:t>
      </w:r>
    </w:p>
    <w:p w:rsidR="00A22121" w:rsidRPr="00D712D0" w:rsidRDefault="00A22121" w:rsidP="00A22121">
      <w:pPr>
        <w:spacing w:after="0" w:line="360" w:lineRule="auto"/>
        <w:jc w:val="center"/>
        <w:rPr>
          <w:rStyle w:val="a6"/>
          <w:rFonts w:ascii="Times New Roman" w:hAnsi="Times New Roman"/>
        </w:rPr>
      </w:pPr>
      <w:r w:rsidRPr="00D712D0">
        <w:rPr>
          <w:rStyle w:val="a6"/>
          <w:rFonts w:ascii="Times New Roman" w:hAnsi="Times New Roman"/>
        </w:rPr>
        <w:t>P = K * T</w:t>
      </w:r>
    </w:p>
    <w:p w:rsidR="00A22121" w:rsidRPr="00D712D0" w:rsidRDefault="00A22121" w:rsidP="00A22121">
      <w:pPr>
        <w:spacing w:after="0" w:line="360" w:lineRule="auto"/>
        <w:jc w:val="center"/>
        <w:rPr>
          <w:rStyle w:val="a6"/>
          <w:rFonts w:ascii="Times New Roman" w:hAnsi="Times New Roman"/>
          <w:lang w:val="en-US"/>
        </w:rPr>
      </w:pPr>
      <w:r w:rsidRPr="00D712D0">
        <w:rPr>
          <w:rStyle w:val="a6"/>
          <w:rFonts w:ascii="Times New Roman" w:hAnsi="Times New Roman"/>
        </w:rPr>
        <w:t xml:space="preserve">K = R * B / </w:t>
      </w:r>
      <w:r w:rsidRPr="00D712D0">
        <w:rPr>
          <w:rStyle w:val="a6"/>
          <w:rFonts w:ascii="Times New Roman" w:hAnsi="Times New Roman"/>
          <w:lang w:val="en-US"/>
        </w:rPr>
        <w:t>Y</w:t>
      </w:r>
    </w:p>
    <w:p w:rsidR="00A22121" w:rsidRPr="00D712D0" w:rsidRDefault="00A22121" w:rsidP="00A22121">
      <w:pPr>
        <w:spacing w:after="0" w:line="240" w:lineRule="auto"/>
        <w:ind w:firstLine="708"/>
        <w:jc w:val="both"/>
        <w:rPr>
          <w:rFonts w:ascii="Times New Roman" w:hAnsi="Times New Roman" w:cs="Times New Roman"/>
          <w:sz w:val="24"/>
          <w:szCs w:val="24"/>
          <w:lang w:val="en-US"/>
        </w:rPr>
      </w:pPr>
      <w:r w:rsidRPr="00D712D0">
        <w:rPr>
          <w:rFonts w:ascii="Times New Roman" w:hAnsi="Times New Roman" w:cs="Times New Roman"/>
          <w:sz w:val="24"/>
          <w:szCs w:val="24"/>
          <w:lang w:val="en-US"/>
        </w:rPr>
        <w:t xml:space="preserve">Here P stands for average monthly pension, T is years lived in RA, K the value of one year lived, R the wage replacement rate that the government </w:t>
      </w:r>
      <w:r w:rsidR="008C5359" w:rsidRPr="00D712D0">
        <w:rPr>
          <w:rFonts w:ascii="Times New Roman" w:hAnsi="Times New Roman" w:cs="Times New Roman"/>
          <w:sz w:val="24"/>
          <w:szCs w:val="24"/>
          <w:lang w:val="en-US"/>
        </w:rPr>
        <w:t>targets</w:t>
      </w:r>
      <w:r w:rsidRPr="00D712D0">
        <w:rPr>
          <w:rFonts w:ascii="Times New Roman" w:hAnsi="Times New Roman" w:cs="Times New Roman"/>
          <w:sz w:val="24"/>
          <w:szCs w:val="24"/>
          <w:lang w:val="en-US"/>
        </w:rPr>
        <w:t xml:space="preserve"> to achieve, B is the MCB for the elderly </w:t>
      </w:r>
      <w:r w:rsidR="008C5359" w:rsidRPr="00D712D0">
        <w:rPr>
          <w:rFonts w:ascii="Times New Roman" w:hAnsi="Times New Roman" w:cs="Times New Roman"/>
          <w:sz w:val="24"/>
          <w:szCs w:val="24"/>
          <w:lang w:val="en-US"/>
        </w:rPr>
        <w:t>population</w:t>
      </w:r>
      <w:r w:rsidRPr="00D712D0">
        <w:rPr>
          <w:rFonts w:ascii="Times New Roman" w:hAnsi="Times New Roman" w:cs="Times New Roman"/>
          <w:sz w:val="24"/>
          <w:szCs w:val="24"/>
          <w:lang w:val="en-US"/>
        </w:rPr>
        <w:t xml:space="preserve"> and Y is the max possible </w:t>
      </w:r>
      <w:r w:rsidR="008C5359" w:rsidRPr="00D712D0">
        <w:rPr>
          <w:rFonts w:ascii="Times New Roman" w:hAnsi="Times New Roman" w:cs="Times New Roman"/>
          <w:sz w:val="24"/>
          <w:szCs w:val="24"/>
          <w:lang w:val="en-US"/>
        </w:rPr>
        <w:t>amount</w:t>
      </w:r>
      <w:r w:rsidRPr="00D712D0">
        <w:rPr>
          <w:rFonts w:ascii="Times New Roman" w:hAnsi="Times New Roman" w:cs="Times New Roman"/>
          <w:sz w:val="24"/>
          <w:szCs w:val="24"/>
          <w:lang w:val="en-US"/>
        </w:rPr>
        <w:t xml:space="preserve"> of years lived in RA.</w:t>
      </w:r>
    </w:p>
    <w:p w:rsidR="00A85A47" w:rsidRPr="00D712D0" w:rsidRDefault="00A85A47" w:rsidP="00A22121">
      <w:pPr>
        <w:spacing w:after="0" w:line="240" w:lineRule="auto"/>
        <w:ind w:firstLine="708"/>
        <w:jc w:val="both"/>
        <w:rPr>
          <w:rFonts w:ascii="Times New Roman" w:hAnsi="Times New Roman" w:cs="Times New Roman"/>
          <w:sz w:val="24"/>
          <w:szCs w:val="24"/>
          <w:lang w:val="en-US"/>
        </w:rPr>
      </w:pPr>
      <w:r w:rsidRPr="00D712D0">
        <w:rPr>
          <w:rFonts w:ascii="Times New Roman" w:hAnsi="Times New Roman" w:cs="Times New Roman"/>
          <w:sz w:val="24"/>
          <w:szCs w:val="24"/>
          <w:lang w:val="en-US"/>
        </w:rPr>
        <w:t>In this case the replacement rate will be calcul</w:t>
      </w:r>
      <w:r w:rsidR="00D22A9B" w:rsidRPr="00D712D0">
        <w:rPr>
          <w:rFonts w:ascii="Times New Roman" w:hAnsi="Times New Roman" w:cs="Times New Roman"/>
          <w:sz w:val="24"/>
          <w:szCs w:val="24"/>
          <w:lang w:val="en-US"/>
        </w:rPr>
        <w:t>ated as the ratio of the monthl</w:t>
      </w:r>
      <w:r w:rsidRPr="00D712D0">
        <w:rPr>
          <w:rFonts w:ascii="Times New Roman" w:hAnsi="Times New Roman" w:cs="Times New Roman"/>
          <w:sz w:val="24"/>
          <w:szCs w:val="24"/>
          <w:lang w:val="en-US"/>
        </w:rPr>
        <w:t xml:space="preserve">y pension support to the MCB of 2061, </w:t>
      </w:r>
      <w:r w:rsidR="008C5359" w:rsidRPr="00D712D0">
        <w:rPr>
          <w:rFonts w:ascii="Times New Roman" w:hAnsi="Times New Roman" w:cs="Times New Roman"/>
          <w:sz w:val="24"/>
          <w:szCs w:val="24"/>
          <w:lang w:val="en-US"/>
        </w:rPr>
        <w:t>with</w:t>
      </w:r>
      <w:r w:rsidRPr="00D712D0">
        <w:rPr>
          <w:rFonts w:ascii="Times New Roman" w:hAnsi="Times New Roman" w:cs="Times New Roman"/>
          <w:sz w:val="24"/>
          <w:szCs w:val="24"/>
          <w:lang w:val="en-US"/>
        </w:rPr>
        <w:t xml:space="preserve"> the assumption of 4.5% yearly inflation holds.</w:t>
      </w:r>
    </w:p>
    <w:p w:rsidR="002A67EB" w:rsidRPr="00D712D0" w:rsidRDefault="002A67EB" w:rsidP="00A22121">
      <w:pPr>
        <w:spacing w:after="0" w:line="240" w:lineRule="auto"/>
        <w:ind w:firstLine="708"/>
        <w:jc w:val="both"/>
        <w:rPr>
          <w:rFonts w:ascii="Times New Roman" w:hAnsi="Times New Roman" w:cs="Times New Roman"/>
          <w:sz w:val="24"/>
          <w:szCs w:val="24"/>
          <w:lang w:val="en-US"/>
        </w:rPr>
      </w:pPr>
      <w:r w:rsidRPr="00D712D0">
        <w:rPr>
          <w:rFonts w:ascii="Times New Roman" w:hAnsi="Times New Roman" w:cs="Times New Roman"/>
          <w:sz w:val="24"/>
          <w:szCs w:val="24"/>
          <w:lang w:val="en-US"/>
        </w:rPr>
        <w:t>Table 8</w:t>
      </w:r>
    </w:p>
    <w:tbl>
      <w:tblPr>
        <w:tblStyle w:val="LightShading-Accent11"/>
        <w:tblW w:w="9800" w:type="dxa"/>
        <w:tblLook w:val="04A0" w:firstRow="1" w:lastRow="0" w:firstColumn="1" w:lastColumn="0" w:noHBand="0" w:noVBand="1"/>
      </w:tblPr>
      <w:tblGrid>
        <w:gridCol w:w="960"/>
        <w:gridCol w:w="2240"/>
        <w:gridCol w:w="2760"/>
        <w:gridCol w:w="2320"/>
        <w:gridCol w:w="1520"/>
      </w:tblGrid>
      <w:tr w:rsidR="002A67EB" w:rsidRPr="00D712D0" w:rsidTr="000D6C1C">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960" w:type="dxa"/>
            <w:hideMark/>
          </w:tcPr>
          <w:p w:rsidR="002A67EB" w:rsidRPr="00D712D0" w:rsidRDefault="002A67EB" w:rsidP="000D6C1C">
            <w:pPr>
              <w:jc w:val="center"/>
              <w:rPr>
                <w:rFonts w:ascii="Times New Roman" w:eastAsia="Times New Roman" w:hAnsi="Times New Roman" w:cs="Times New Roman"/>
                <w:color w:val="000000"/>
                <w:sz w:val="24"/>
                <w:szCs w:val="24"/>
                <w:lang w:val="ru-RU" w:eastAsia="ru-RU"/>
              </w:rPr>
            </w:pPr>
            <w:r w:rsidRPr="00D712D0">
              <w:rPr>
                <w:rFonts w:ascii="Times New Roman" w:eastAsia="Times New Roman" w:hAnsi="Times New Roman" w:cs="Times New Roman"/>
                <w:color w:val="000000"/>
                <w:sz w:val="24"/>
                <w:szCs w:val="24"/>
                <w:lang w:val="ru-RU" w:eastAsia="ru-RU"/>
              </w:rPr>
              <w:t>N</w:t>
            </w:r>
          </w:p>
        </w:tc>
        <w:tc>
          <w:tcPr>
            <w:tcW w:w="2240" w:type="dxa"/>
            <w:hideMark/>
          </w:tcPr>
          <w:p w:rsidR="002A67EB" w:rsidRPr="004B33BF" w:rsidRDefault="004B33BF" w:rsidP="000D6C1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Substitution rate, % of MCB</w:t>
            </w:r>
          </w:p>
        </w:tc>
        <w:tc>
          <w:tcPr>
            <w:tcW w:w="2760" w:type="dxa"/>
            <w:hideMark/>
          </w:tcPr>
          <w:p w:rsidR="002A67EB" w:rsidRPr="004B33BF" w:rsidRDefault="004B33BF" w:rsidP="000D6C1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Max possible number of pensioners (elderly)</w:t>
            </w:r>
          </w:p>
        </w:tc>
        <w:tc>
          <w:tcPr>
            <w:tcW w:w="2320" w:type="dxa"/>
            <w:hideMark/>
          </w:tcPr>
          <w:p w:rsidR="002A67EB" w:rsidRPr="004B33BF" w:rsidRDefault="004B33BF" w:rsidP="000D6C1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Max possible monthly expenses</w:t>
            </w:r>
          </w:p>
        </w:tc>
        <w:tc>
          <w:tcPr>
            <w:tcW w:w="1520" w:type="dxa"/>
            <w:hideMark/>
          </w:tcPr>
          <w:p w:rsidR="002A67EB" w:rsidRPr="004B33BF" w:rsidRDefault="004B33BF" w:rsidP="000D6C1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Value of one year lived</w:t>
            </w:r>
          </w:p>
        </w:tc>
      </w:tr>
      <w:tr w:rsidR="002A67EB" w:rsidRPr="00D712D0" w:rsidTr="000D6C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2A67EB" w:rsidRPr="00D712D0" w:rsidRDefault="002A67EB" w:rsidP="000D6C1C">
            <w:pPr>
              <w:jc w:val="right"/>
              <w:rPr>
                <w:rFonts w:ascii="Times New Roman" w:eastAsia="Times New Roman" w:hAnsi="Times New Roman" w:cs="Times New Roman"/>
                <w:color w:val="000000"/>
                <w:sz w:val="24"/>
                <w:szCs w:val="24"/>
                <w:lang w:val="ru-RU" w:eastAsia="ru-RU"/>
              </w:rPr>
            </w:pPr>
            <w:r w:rsidRPr="00D712D0">
              <w:rPr>
                <w:rFonts w:ascii="Times New Roman" w:eastAsia="Times New Roman" w:hAnsi="Times New Roman" w:cs="Times New Roman"/>
                <w:color w:val="000000"/>
                <w:sz w:val="24"/>
                <w:szCs w:val="24"/>
                <w:lang w:val="ru-RU" w:eastAsia="ru-RU"/>
              </w:rPr>
              <w:t>1</w:t>
            </w:r>
          </w:p>
        </w:tc>
        <w:tc>
          <w:tcPr>
            <w:tcW w:w="2240" w:type="dxa"/>
            <w:noWrap/>
            <w:hideMark/>
          </w:tcPr>
          <w:p w:rsidR="002A67EB" w:rsidRPr="00D712D0" w:rsidRDefault="002A67EB" w:rsidP="000D6C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ru-RU" w:eastAsia="ru-RU"/>
              </w:rPr>
            </w:pPr>
            <w:r w:rsidRPr="00D712D0">
              <w:rPr>
                <w:rFonts w:ascii="Times New Roman" w:eastAsia="Times New Roman" w:hAnsi="Times New Roman" w:cs="Times New Roman"/>
                <w:color w:val="000000"/>
                <w:sz w:val="24"/>
                <w:szCs w:val="24"/>
                <w:lang w:val="ru-RU" w:eastAsia="ru-RU"/>
              </w:rPr>
              <w:t>140</w:t>
            </w:r>
          </w:p>
        </w:tc>
        <w:tc>
          <w:tcPr>
            <w:tcW w:w="2760" w:type="dxa"/>
            <w:noWrap/>
            <w:hideMark/>
          </w:tcPr>
          <w:p w:rsidR="002A67EB" w:rsidRPr="00D712D0" w:rsidRDefault="002A67EB" w:rsidP="000D6C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ru-RU" w:eastAsia="ru-RU"/>
              </w:rPr>
            </w:pPr>
            <w:r w:rsidRPr="00D712D0">
              <w:rPr>
                <w:rFonts w:ascii="Times New Roman" w:eastAsia="Times New Roman" w:hAnsi="Times New Roman" w:cs="Times New Roman"/>
                <w:color w:val="000000"/>
                <w:sz w:val="24"/>
                <w:szCs w:val="24"/>
                <w:lang w:val="ru-RU" w:eastAsia="ru-RU"/>
              </w:rPr>
              <w:t>44239</w:t>
            </w:r>
          </w:p>
        </w:tc>
        <w:tc>
          <w:tcPr>
            <w:tcW w:w="2320" w:type="dxa"/>
            <w:noWrap/>
            <w:hideMark/>
          </w:tcPr>
          <w:p w:rsidR="008F18EB" w:rsidRPr="00D712D0" w:rsidRDefault="008F18EB" w:rsidP="008F18E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D712D0">
              <w:rPr>
                <w:rFonts w:ascii="Times New Roman" w:hAnsi="Times New Roman" w:cs="Times New Roman"/>
                <w:color w:val="000000"/>
                <w:sz w:val="24"/>
                <w:szCs w:val="24"/>
              </w:rPr>
              <w:t>23,871,674,073</w:t>
            </w:r>
          </w:p>
          <w:p w:rsidR="002A67EB" w:rsidRPr="00D712D0" w:rsidRDefault="002A67EB" w:rsidP="000D6C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ru-RU" w:eastAsia="ru-RU"/>
              </w:rPr>
            </w:pPr>
          </w:p>
        </w:tc>
        <w:tc>
          <w:tcPr>
            <w:tcW w:w="1520" w:type="dxa"/>
            <w:noWrap/>
            <w:hideMark/>
          </w:tcPr>
          <w:p w:rsidR="002A67EB" w:rsidRPr="00D712D0" w:rsidRDefault="002A67EB" w:rsidP="000D6C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D712D0">
              <w:rPr>
                <w:rFonts w:ascii="Times New Roman" w:eastAsia="Times New Roman" w:hAnsi="Times New Roman" w:cs="Times New Roman"/>
                <w:color w:val="000000"/>
                <w:sz w:val="24"/>
                <w:szCs w:val="24"/>
                <w:lang w:val="ru-RU" w:eastAsia="ru-RU"/>
              </w:rPr>
              <w:t>11481</w:t>
            </w:r>
          </w:p>
        </w:tc>
      </w:tr>
      <w:tr w:rsidR="002A67EB" w:rsidRPr="00D712D0" w:rsidTr="000D6C1C">
        <w:trPr>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2A67EB" w:rsidRPr="00D712D0" w:rsidRDefault="002A67EB" w:rsidP="000D6C1C">
            <w:pPr>
              <w:jc w:val="right"/>
              <w:rPr>
                <w:rFonts w:ascii="Times New Roman" w:eastAsia="Times New Roman" w:hAnsi="Times New Roman" w:cs="Times New Roman"/>
                <w:color w:val="000000"/>
                <w:sz w:val="24"/>
                <w:szCs w:val="24"/>
                <w:lang w:val="ru-RU" w:eastAsia="ru-RU"/>
              </w:rPr>
            </w:pPr>
            <w:r w:rsidRPr="00D712D0">
              <w:rPr>
                <w:rFonts w:ascii="Times New Roman" w:eastAsia="Times New Roman" w:hAnsi="Times New Roman" w:cs="Times New Roman"/>
                <w:color w:val="000000"/>
                <w:sz w:val="24"/>
                <w:szCs w:val="24"/>
                <w:lang w:val="ru-RU" w:eastAsia="ru-RU"/>
              </w:rPr>
              <w:t>2</w:t>
            </w:r>
          </w:p>
        </w:tc>
        <w:tc>
          <w:tcPr>
            <w:tcW w:w="2240" w:type="dxa"/>
            <w:noWrap/>
            <w:hideMark/>
          </w:tcPr>
          <w:p w:rsidR="002A67EB" w:rsidRPr="00D712D0" w:rsidRDefault="002A67EB" w:rsidP="000D6C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ru-RU" w:eastAsia="ru-RU"/>
              </w:rPr>
            </w:pPr>
            <w:r w:rsidRPr="00D712D0">
              <w:rPr>
                <w:rFonts w:ascii="Times New Roman" w:eastAsia="Times New Roman" w:hAnsi="Times New Roman" w:cs="Times New Roman"/>
                <w:color w:val="000000"/>
                <w:sz w:val="24"/>
                <w:szCs w:val="24"/>
                <w:lang w:val="ru-RU" w:eastAsia="ru-RU"/>
              </w:rPr>
              <w:t>120</w:t>
            </w:r>
          </w:p>
        </w:tc>
        <w:tc>
          <w:tcPr>
            <w:tcW w:w="2760" w:type="dxa"/>
            <w:noWrap/>
            <w:hideMark/>
          </w:tcPr>
          <w:p w:rsidR="002A67EB" w:rsidRPr="00D712D0" w:rsidRDefault="002A67EB" w:rsidP="000D6C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ru-RU" w:eastAsia="ru-RU"/>
              </w:rPr>
            </w:pPr>
            <w:r w:rsidRPr="00D712D0">
              <w:rPr>
                <w:rFonts w:ascii="Times New Roman" w:eastAsia="Times New Roman" w:hAnsi="Times New Roman" w:cs="Times New Roman"/>
                <w:color w:val="000000"/>
                <w:sz w:val="24"/>
                <w:szCs w:val="24"/>
                <w:lang w:val="ru-RU" w:eastAsia="ru-RU"/>
              </w:rPr>
              <w:t>44239</w:t>
            </w:r>
          </w:p>
        </w:tc>
        <w:tc>
          <w:tcPr>
            <w:tcW w:w="2320" w:type="dxa"/>
            <w:noWrap/>
            <w:hideMark/>
          </w:tcPr>
          <w:p w:rsidR="008F18EB" w:rsidRPr="00D712D0" w:rsidRDefault="008F18EB" w:rsidP="008F18E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D712D0">
              <w:rPr>
                <w:rFonts w:ascii="Times New Roman" w:hAnsi="Times New Roman" w:cs="Times New Roman"/>
                <w:color w:val="000000"/>
                <w:sz w:val="24"/>
                <w:szCs w:val="24"/>
              </w:rPr>
              <w:t>20,461,731,953</w:t>
            </w:r>
          </w:p>
          <w:p w:rsidR="002A67EB" w:rsidRPr="00D712D0" w:rsidRDefault="002A67EB" w:rsidP="000D6C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val="ru-RU" w:eastAsia="ru-RU"/>
              </w:rPr>
            </w:pPr>
          </w:p>
        </w:tc>
        <w:tc>
          <w:tcPr>
            <w:tcW w:w="1520" w:type="dxa"/>
            <w:noWrap/>
            <w:hideMark/>
          </w:tcPr>
          <w:p w:rsidR="002A67EB" w:rsidRPr="00D712D0" w:rsidRDefault="002A67EB" w:rsidP="000D6C1C">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D712D0">
              <w:rPr>
                <w:rFonts w:ascii="Times New Roman" w:eastAsia="Times New Roman" w:hAnsi="Times New Roman" w:cs="Times New Roman"/>
                <w:color w:val="000000"/>
                <w:sz w:val="24"/>
                <w:szCs w:val="24"/>
                <w:lang w:val="ru-RU" w:eastAsia="ru-RU"/>
              </w:rPr>
              <w:t>9841</w:t>
            </w:r>
          </w:p>
        </w:tc>
      </w:tr>
      <w:tr w:rsidR="002A67EB" w:rsidRPr="00D712D0" w:rsidTr="000D6C1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noWrap/>
            <w:hideMark/>
          </w:tcPr>
          <w:p w:rsidR="002A67EB" w:rsidRPr="00D712D0" w:rsidRDefault="002A67EB" w:rsidP="000D6C1C">
            <w:pPr>
              <w:jc w:val="right"/>
              <w:rPr>
                <w:rFonts w:ascii="Times New Roman" w:eastAsia="Times New Roman" w:hAnsi="Times New Roman" w:cs="Times New Roman"/>
                <w:color w:val="000000"/>
                <w:sz w:val="24"/>
                <w:szCs w:val="24"/>
                <w:lang w:val="ru-RU" w:eastAsia="ru-RU"/>
              </w:rPr>
            </w:pPr>
            <w:r w:rsidRPr="00D712D0">
              <w:rPr>
                <w:rFonts w:ascii="Times New Roman" w:eastAsia="Times New Roman" w:hAnsi="Times New Roman" w:cs="Times New Roman"/>
                <w:color w:val="000000"/>
                <w:sz w:val="24"/>
                <w:szCs w:val="24"/>
                <w:lang w:val="ru-RU" w:eastAsia="ru-RU"/>
              </w:rPr>
              <w:t>3</w:t>
            </w:r>
          </w:p>
        </w:tc>
        <w:tc>
          <w:tcPr>
            <w:tcW w:w="2240" w:type="dxa"/>
            <w:noWrap/>
            <w:hideMark/>
          </w:tcPr>
          <w:p w:rsidR="002A67EB" w:rsidRPr="00D712D0" w:rsidRDefault="002A67EB" w:rsidP="000D6C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ru-RU" w:eastAsia="ru-RU"/>
              </w:rPr>
            </w:pPr>
            <w:r w:rsidRPr="00D712D0">
              <w:rPr>
                <w:rFonts w:ascii="Times New Roman" w:eastAsia="Times New Roman" w:hAnsi="Times New Roman" w:cs="Times New Roman"/>
                <w:color w:val="000000"/>
                <w:sz w:val="24"/>
                <w:szCs w:val="24"/>
                <w:lang w:val="ru-RU" w:eastAsia="ru-RU"/>
              </w:rPr>
              <w:t>100</w:t>
            </w:r>
          </w:p>
        </w:tc>
        <w:tc>
          <w:tcPr>
            <w:tcW w:w="2760" w:type="dxa"/>
            <w:noWrap/>
            <w:hideMark/>
          </w:tcPr>
          <w:p w:rsidR="002A67EB" w:rsidRPr="00D712D0" w:rsidRDefault="002A67EB" w:rsidP="000D6C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ru-RU" w:eastAsia="ru-RU"/>
              </w:rPr>
            </w:pPr>
            <w:r w:rsidRPr="00D712D0">
              <w:rPr>
                <w:rFonts w:ascii="Times New Roman" w:eastAsia="Times New Roman" w:hAnsi="Times New Roman" w:cs="Times New Roman"/>
                <w:color w:val="000000"/>
                <w:sz w:val="24"/>
                <w:szCs w:val="24"/>
                <w:lang w:val="ru-RU" w:eastAsia="ru-RU"/>
              </w:rPr>
              <w:t>44239</w:t>
            </w:r>
          </w:p>
        </w:tc>
        <w:tc>
          <w:tcPr>
            <w:tcW w:w="2320" w:type="dxa"/>
            <w:noWrap/>
            <w:hideMark/>
          </w:tcPr>
          <w:p w:rsidR="002A67EB" w:rsidRPr="00D712D0" w:rsidRDefault="008F18EB" w:rsidP="008F18EB">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val="ru-RU" w:eastAsia="ru-RU"/>
              </w:rPr>
            </w:pPr>
            <w:r w:rsidRPr="00D712D0">
              <w:rPr>
                <w:rFonts w:ascii="Times New Roman" w:hAnsi="Times New Roman" w:cs="Times New Roman"/>
                <w:color w:val="000000"/>
                <w:sz w:val="24"/>
                <w:szCs w:val="24"/>
              </w:rPr>
              <w:t>17,051,789,833</w:t>
            </w:r>
          </w:p>
        </w:tc>
        <w:tc>
          <w:tcPr>
            <w:tcW w:w="1520" w:type="dxa"/>
            <w:noWrap/>
            <w:hideMark/>
          </w:tcPr>
          <w:p w:rsidR="002A67EB" w:rsidRPr="00D712D0" w:rsidRDefault="002A67EB" w:rsidP="000D6C1C">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ru-RU"/>
              </w:rPr>
            </w:pPr>
            <w:r w:rsidRPr="00D712D0">
              <w:rPr>
                <w:rFonts w:ascii="Times New Roman" w:eastAsia="Times New Roman" w:hAnsi="Times New Roman" w:cs="Times New Roman"/>
                <w:color w:val="000000"/>
                <w:sz w:val="24"/>
                <w:szCs w:val="24"/>
                <w:lang w:val="ru-RU" w:eastAsia="ru-RU"/>
              </w:rPr>
              <w:t>8201</w:t>
            </w:r>
          </w:p>
        </w:tc>
      </w:tr>
    </w:tbl>
    <w:p w:rsidR="007A550F" w:rsidRPr="00D712D0" w:rsidRDefault="007A550F" w:rsidP="007A550F">
      <w:pPr>
        <w:spacing w:after="0" w:line="240" w:lineRule="auto"/>
        <w:ind w:firstLine="708"/>
        <w:jc w:val="both"/>
        <w:rPr>
          <w:rFonts w:ascii="Times New Roman" w:hAnsi="Times New Roman" w:cs="Times New Roman"/>
          <w:sz w:val="24"/>
          <w:szCs w:val="24"/>
          <w:lang w:val="en-US"/>
        </w:rPr>
      </w:pPr>
      <w:r w:rsidRPr="00D712D0">
        <w:rPr>
          <w:rFonts w:ascii="Times New Roman" w:hAnsi="Times New Roman" w:cs="Times New Roman"/>
          <w:sz w:val="24"/>
          <w:szCs w:val="24"/>
          <w:lang w:val="en-US"/>
        </w:rPr>
        <w:t>In case of model 2 usage, the government expenses are</w:t>
      </w:r>
      <w:r w:rsidR="00667387" w:rsidRPr="00D712D0">
        <w:rPr>
          <w:rFonts w:ascii="Times New Roman" w:hAnsi="Times New Roman" w:cs="Times New Roman"/>
          <w:sz w:val="24"/>
          <w:szCs w:val="24"/>
          <w:lang w:val="en-US"/>
        </w:rPr>
        <w:t xml:space="preserve"> higher</w:t>
      </w:r>
      <w:r w:rsidRPr="00D712D0">
        <w:rPr>
          <w:rFonts w:ascii="Times New Roman" w:hAnsi="Times New Roman" w:cs="Times New Roman"/>
          <w:sz w:val="24"/>
          <w:szCs w:val="24"/>
          <w:lang w:val="en-US"/>
        </w:rPr>
        <w:t xml:space="preserve"> than in case of model 1. However both models contain too </w:t>
      </w:r>
      <w:proofErr w:type="gramStart"/>
      <w:r w:rsidRPr="00D712D0">
        <w:rPr>
          <w:rFonts w:ascii="Times New Roman" w:hAnsi="Times New Roman" w:cs="Times New Roman"/>
          <w:sz w:val="24"/>
          <w:szCs w:val="24"/>
          <w:lang w:val="en-US"/>
        </w:rPr>
        <w:t>many assumption</w:t>
      </w:r>
      <w:proofErr w:type="gramEnd"/>
      <w:r w:rsidRPr="00D712D0">
        <w:rPr>
          <w:rFonts w:ascii="Times New Roman" w:hAnsi="Times New Roman" w:cs="Times New Roman"/>
          <w:sz w:val="24"/>
          <w:szCs w:val="24"/>
          <w:lang w:val="en-US"/>
        </w:rPr>
        <w:t xml:space="preserve">, which may not hold in the long term. Thus this research should be </w:t>
      </w:r>
      <w:r w:rsidR="008C5359" w:rsidRPr="00D712D0">
        <w:rPr>
          <w:rFonts w:ascii="Times New Roman" w:hAnsi="Times New Roman" w:cs="Times New Roman"/>
          <w:sz w:val="24"/>
          <w:szCs w:val="24"/>
          <w:lang w:val="en-US"/>
        </w:rPr>
        <w:t>considered</w:t>
      </w:r>
      <w:r w:rsidRPr="00D712D0">
        <w:rPr>
          <w:rFonts w:ascii="Times New Roman" w:hAnsi="Times New Roman" w:cs="Times New Roman"/>
          <w:sz w:val="24"/>
          <w:szCs w:val="24"/>
          <w:lang w:val="en-US"/>
        </w:rPr>
        <w:t xml:space="preserve"> as a proposition of alternate models of pension system reform and their rough estimates. </w:t>
      </w:r>
      <w:r w:rsidR="00667387" w:rsidRPr="00D712D0">
        <w:rPr>
          <w:rFonts w:ascii="Times New Roman" w:hAnsi="Times New Roman" w:cs="Times New Roman"/>
          <w:sz w:val="24"/>
          <w:szCs w:val="24"/>
          <w:lang w:val="en-US"/>
        </w:rPr>
        <w:t xml:space="preserve">First off, we </w:t>
      </w:r>
      <w:proofErr w:type="spellStart"/>
      <w:r w:rsidR="00667387" w:rsidRPr="00D712D0">
        <w:rPr>
          <w:rFonts w:ascii="Times New Roman" w:hAnsi="Times New Roman" w:cs="Times New Roman"/>
          <w:sz w:val="24"/>
          <w:szCs w:val="24"/>
          <w:lang w:val="en-US"/>
        </w:rPr>
        <w:t>can not</w:t>
      </w:r>
      <w:proofErr w:type="spellEnd"/>
      <w:r w:rsidR="00667387" w:rsidRPr="00D712D0">
        <w:rPr>
          <w:rFonts w:ascii="Times New Roman" w:hAnsi="Times New Roman" w:cs="Times New Roman"/>
          <w:sz w:val="24"/>
          <w:szCs w:val="24"/>
          <w:lang w:val="en-US"/>
        </w:rPr>
        <w:t xml:space="preserve"> determine the state of the budget or GDP, so it is impossible for us to calculate pension spending to budget or pension spending to GDP ratios, next the cost of MCB is expected to increase at a stable rate, however it may stop increasing at some point in time, or even decrease, note that the opposite scenario is also possible. </w:t>
      </w:r>
    </w:p>
    <w:p w:rsidR="00E64EFB" w:rsidRPr="00D712D0" w:rsidRDefault="00E64EFB" w:rsidP="007A550F">
      <w:pPr>
        <w:spacing w:after="0" w:line="240" w:lineRule="auto"/>
        <w:ind w:firstLine="708"/>
        <w:jc w:val="both"/>
        <w:rPr>
          <w:rFonts w:ascii="Times New Roman" w:hAnsi="Times New Roman" w:cs="Times New Roman"/>
          <w:b/>
          <w:sz w:val="24"/>
          <w:szCs w:val="24"/>
          <w:lang w:val="en-US"/>
        </w:rPr>
      </w:pPr>
    </w:p>
    <w:p w:rsidR="00E64EFB" w:rsidRPr="00D712D0" w:rsidRDefault="00E64EFB" w:rsidP="007A550F">
      <w:pPr>
        <w:spacing w:after="0" w:line="240" w:lineRule="auto"/>
        <w:ind w:firstLine="708"/>
        <w:jc w:val="both"/>
        <w:rPr>
          <w:rFonts w:ascii="Times New Roman" w:hAnsi="Times New Roman" w:cs="Times New Roman"/>
          <w:b/>
          <w:sz w:val="24"/>
          <w:szCs w:val="24"/>
          <w:lang w:val="en-US"/>
        </w:rPr>
      </w:pPr>
      <w:r w:rsidRPr="00D712D0">
        <w:rPr>
          <w:rFonts w:ascii="Times New Roman" w:hAnsi="Times New Roman" w:cs="Times New Roman"/>
          <w:b/>
          <w:sz w:val="24"/>
          <w:szCs w:val="24"/>
          <w:lang w:val="en-US"/>
        </w:rPr>
        <w:t>Conclusion</w:t>
      </w:r>
    </w:p>
    <w:p w:rsidR="00E64EFB" w:rsidRPr="00D712D0" w:rsidRDefault="00E64EFB" w:rsidP="007A550F">
      <w:pPr>
        <w:spacing w:after="0" w:line="240" w:lineRule="auto"/>
        <w:ind w:firstLine="708"/>
        <w:jc w:val="both"/>
        <w:rPr>
          <w:rFonts w:ascii="Times New Roman" w:hAnsi="Times New Roman" w:cs="Times New Roman"/>
          <w:sz w:val="24"/>
          <w:szCs w:val="24"/>
          <w:lang w:val="en-US"/>
        </w:rPr>
      </w:pPr>
    </w:p>
    <w:p w:rsidR="00E64EFB" w:rsidRPr="00D712D0" w:rsidRDefault="00E64EFB" w:rsidP="007A550F">
      <w:pPr>
        <w:spacing w:after="0" w:line="240" w:lineRule="auto"/>
        <w:ind w:firstLine="708"/>
        <w:jc w:val="both"/>
        <w:rPr>
          <w:rFonts w:ascii="Times New Roman" w:hAnsi="Times New Roman" w:cs="Times New Roman"/>
          <w:sz w:val="24"/>
          <w:szCs w:val="24"/>
          <w:lang w:val="en-US"/>
        </w:rPr>
      </w:pPr>
      <w:r w:rsidRPr="00D712D0">
        <w:rPr>
          <w:rFonts w:ascii="Times New Roman" w:hAnsi="Times New Roman" w:cs="Times New Roman"/>
          <w:sz w:val="24"/>
          <w:szCs w:val="24"/>
          <w:lang w:val="en-US"/>
        </w:rPr>
        <w:t xml:space="preserve">We have been able to identify some flaws that may or may not decrease the efficiency of the new </w:t>
      </w:r>
      <w:r w:rsidR="008C5359" w:rsidRPr="00D712D0">
        <w:rPr>
          <w:rFonts w:ascii="Times New Roman" w:hAnsi="Times New Roman" w:cs="Times New Roman"/>
          <w:sz w:val="24"/>
          <w:szCs w:val="24"/>
          <w:lang w:val="en-US"/>
        </w:rPr>
        <w:t>malty</w:t>
      </w:r>
      <w:r w:rsidRPr="00D712D0">
        <w:rPr>
          <w:rFonts w:ascii="Times New Roman" w:hAnsi="Times New Roman" w:cs="Times New Roman"/>
          <w:sz w:val="24"/>
          <w:szCs w:val="24"/>
          <w:lang w:val="en-US"/>
        </w:rPr>
        <w:t xml:space="preserve"> pillar system. Among those flaws were the progressive </w:t>
      </w:r>
      <w:r w:rsidR="008C5359" w:rsidRPr="00D712D0">
        <w:rPr>
          <w:rFonts w:ascii="Times New Roman" w:hAnsi="Times New Roman" w:cs="Times New Roman"/>
          <w:sz w:val="24"/>
          <w:szCs w:val="24"/>
          <w:lang w:val="en-US"/>
        </w:rPr>
        <w:t>government</w:t>
      </w:r>
      <w:r w:rsidRPr="00D712D0">
        <w:rPr>
          <w:rFonts w:ascii="Times New Roman" w:hAnsi="Times New Roman" w:cs="Times New Roman"/>
          <w:sz w:val="24"/>
          <w:szCs w:val="24"/>
          <w:lang w:val="en-US"/>
        </w:rPr>
        <w:t xml:space="preserve"> support, the issues of rural population and non-forma</w:t>
      </w:r>
      <w:r w:rsidR="00E31988" w:rsidRPr="00D712D0">
        <w:rPr>
          <w:rFonts w:ascii="Times New Roman" w:hAnsi="Times New Roman" w:cs="Times New Roman"/>
          <w:sz w:val="24"/>
          <w:szCs w:val="24"/>
          <w:lang w:val="en-US"/>
        </w:rPr>
        <w:t xml:space="preserve">l sector employment etc. </w:t>
      </w:r>
    </w:p>
    <w:p w:rsidR="00E31988" w:rsidRPr="00D712D0" w:rsidRDefault="00E31988" w:rsidP="007A550F">
      <w:pPr>
        <w:spacing w:after="0" w:line="240" w:lineRule="auto"/>
        <w:ind w:firstLine="708"/>
        <w:jc w:val="both"/>
        <w:rPr>
          <w:rFonts w:ascii="Times New Roman" w:hAnsi="Times New Roman" w:cs="Times New Roman"/>
          <w:sz w:val="24"/>
          <w:szCs w:val="24"/>
          <w:lang w:val="en-US"/>
        </w:rPr>
      </w:pPr>
      <w:r w:rsidRPr="00D712D0">
        <w:rPr>
          <w:rFonts w:ascii="Times New Roman" w:hAnsi="Times New Roman" w:cs="Times New Roman"/>
          <w:sz w:val="24"/>
          <w:szCs w:val="24"/>
          <w:lang w:val="en-US"/>
        </w:rPr>
        <w:t xml:space="preserve">The models that we have proposed above, are offering a solution to the issues mentioned above, and are applicable both for current system parametrical change and the </w:t>
      </w:r>
      <w:r w:rsidR="008C5359" w:rsidRPr="00D712D0">
        <w:rPr>
          <w:rFonts w:ascii="Times New Roman" w:hAnsi="Times New Roman" w:cs="Times New Roman"/>
          <w:sz w:val="24"/>
          <w:szCs w:val="24"/>
          <w:lang w:val="en-US"/>
        </w:rPr>
        <w:t>remaining</w:t>
      </w:r>
      <w:r w:rsidRPr="00D712D0">
        <w:rPr>
          <w:rFonts w:ascii="Times New Roman" w:hAnsi="Times New Roman" w:cs="Times New Roman"/>
          <w:sz w:val="24"/>
          <w:szCs w:val="24"/>
          <w:lang w:val="en-US"/>
        </w:rPr>
        <w:t xml:space="preserve"> social tier in the upcoming </w:t>
      </w:r>
      <w:r w:rsidR="008C5359" w:rsidRPr="00D712D0">
        <w:rPr>
          <w:rFonts w:ascii="Times New Roman" w:hAnsi="Times New Roman" w:cs="Times New Roman"/>
          <w:sz w:val="24"/>
          <w:szCs w:val="24"/>
          <w:lang w:val="en-US"/>
        </w:rPr>
        <w:t>malty</w:t>
      </w:r>
      <w:r w:rsidRPr="00D712D0">
        <w:rPr>
          <w:rFonts w:ascii="Times New Roman" w:hAnsi="Times New Roman" w:cs="Times New Roman"/>
          <w:sz w:val="24"/>
          <w:szCs w:val="24"/>
          <w:lang w:val="en-US"/>
        </w:rPr>
        <w:t xml:space="preserve"> pillar system.</w:t>
      </w:r>
    </w:p>
    <w:sectPr w:rsidR="00E31988" w:rsidRPr="00D712D0" w:rsidSect="00D712D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4B4" w:rsidRDefault="00C804B4" w:rsidP="004E1C58">
      <w:pPr>
        <w:spacing w:after="0" w:line="240" w:lineRule="auto"/>
      </w:pPr>
      <w:r>
        <w:separator/>
      </w:r>
    </w:p>
  </w:endnote>
  <w:endnote w:type="continuationSeparator" w:id="0">
    <w:p w:rsidR="00C804B4" w:rsidRDefault="00C804B4" w:rsidP="004E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4B4" w:rsidRDefault="00C804B4" w:rsidP="004E1C58">
      <w:pPr>
        <w:spacing w:after="0" w:line="240" w:lineRule="auto"/>
      </w:pPr>
      <w:r>
        <w:separator/>
      </w:r>
    </w:p>
  </w:footnote>
  <w:footnote w:type="continuationSeparator" w:id="0">
    <w:p w:rsidR="00C804B4" w:rsidRDefault="00C804B4" w:rsidP="004E1C58">
      <w:pPr>
        <w:spacing w:after="0" w:line="240" w:lineRule="auto"/>
      </w:pPr>
      <w:r>
        <w:continuationSeparator/>
      </w:r>
    </w:p>
  </w:footnote>
  <w:footnote w:id="1">
    <w:p w:rsidR="000D6C1C" w:rsidRPr="004E1C58" w:rsidRDefault="000D6C1C">
      <w:pPr>
        <w:pStyle w:val="a3"/>
        <w:rPr>
          <w:rFonts w:ascii="Sylfaen" w:hAnsi="Sylfaen"/>
          <w:lang w:val="hy-AM"/>
        </w:rPr>
      </w:pPr>
      <w:r>
        <w:rPr>
          <w:rStyle w:val="a5"/>
        </w:rPr>
        <w:footnoteRef/>
      </w:r>
      <w:r>
        <w:t xml:space="preserve"> </w:t>
      </w:r>
      <w:r>
        <w:rPr>
          <w:rFonts w:ascii="Sylfaen" w:hAnsi="Sylfaen"/>
          <w:lang w:val="hy-AM"/>
        </w:rPr>
        <w:t>Pension system included.</w:t>
      </w:r>
    </w:p>
  </w:footnote>
  <w:footnote w:id="2">
    <w:p w:rsidR="000D6C1C" w:rsidRPr="000C7B90" w:rsidRDefault="000D6C1C">
      <w:pPr>
        <w:pStyle w:val="a3"/>
        <w:rPr>
          <w:rFonts w:ascii="Sylfaen" w:hAnsi="Sylfaen"/>
          <w:lang w:val="hy-AM"/>
        </w:rPr>
      </w:pPr>
      <w:r>
        <w:rPr>
          <w:rStyle w:val="a5"/>
        </w:rPr>
        <w:footnoteRef/>
      </w:r>
      <w:r>
        <w:t xml:space="preserve"> </w:t>
      </w:r>
      <w:r>
        <w:rPr>
          <w:rFonts w:ascii="Sylfaen" w:hAnsi="Sylfaen"/>
          <w:lang w:val="hy-AM"/>
        </w:rPr>
        <w:t>Untill a certain income level is reached.</w:t>
      </w:r>
    </w:p>
  </w:footnote>
  <w:footnote w:id="3">
    <w:p w:rsidR="000D6C1C" w:rsidRPr="0000430A" w:rsidRDefault="000D6C1C">
      <w:pPr>
        <w:pStyle w:val="a3"/>
        <w:rPr>
          <w:rFonts w:ascii="Sylfaen" w:hAnsi="Sylfaen"/>
          <w:lang w:val="hy-AM"/>
        </w:rPr>
      </w:pPr>
      <w:r>
        <w:rPr>
          <w:rStyle w:val="a5"/>
        </w:rPr>
        <w:footnoteRef/>
      </w:r>
      <w:r>
        <w:t xml:space="preserve"> </w:t>
      </w:r>
      <w:r>
        <w:rPr>
          <w:rFonts w:ascii="Sylfaen" w:hAnsi="Sylfaen"/>
          <w:lang w:val="hy-AM"/>
        </w:rPr>
        <w:t>The same ammount as a monthly mandatory input, but no more than 25,000 AMD</w:t>
      </w:r>
    </w:p>
  </w:footnote>
  <w:footnote w:id="4">
    <w:p w:rsidR="000D6C1C" w:rsidRPr="008E17EA" w:rsidRDefault="000D6C1C">
      <w:pPr>
        <w:pStyle w:val="a3"/>
        <w:rPr>
          <w:lang w:val="en-US"/>
        </w:rPr>
      </w:pPr>
      <w:r w:rsidRPr="008E17EA">
        <w:rPr>
          <w:rFonts w:ascii="Sylfaen" w:hAnsi="Sylfaen"/>
          <w:lang w:val="hy-AM"/>
        </w:rPr>
        <w:footnoteRef/>
      </w:r>
      <w:r w:rsidRPr="008E17EA">
        <w:rPr>
          <w:rFonts w:ascii="Sylfaen" w:hAnsi="Sylfaen"/>
          <w:lang w:val="hy-AM"/>
        </w:rPr>
        <w:t xml:space="preserve"> Here the elderly age is concidered 65 years, meaning that the elderly population and the pensioners are the same</w:t>
      </w:r>
      <w:r>
        <w:rPr>
          <w:lang w:val="en-US"/>
        </w:rPr>
        <w:t>.</w:t>
      </w:r>
    </w:p>
  </w:footnote>
  <w:footnote w:id="5">
    <w:p w:rsidR="000D6C1C" w:rsidRPr="00847F30" w:rsidRDefault="000D6C1C">
      <w:pPr>
        <w:pStyle w:val="a3"/>
        <w:rPr>
          <w:rFonts w:ascii="Sylfaen" w:hAnsi="Sylfaen"/>
          <w:lang w:val="hy-AM"/>
        </w:rPr>
      </w:pPr>
      <w:r>
        <w:rPr>
          <w:rStyle w:val="a5"/>
        </w:rPr>
        <w:footnoteRef/>
      </w:r>
      <w:r>
        <w:t xml:space="preserve"> </w:t>
      </w:r>
      <w:r>
        <w:rPr>
          <w:rFonts w:ascii="Sylfaen" w:hAnsi="Sylfaen"/>
          <w:lang w:val="hy-AM"/>
        </w:rPr>
        <w:t xml:space="preserve">Here the substitution rate is calculated as ratio of monthly equalized payments to indivudual till «life expetancy age» to the average wage. </w:t>
      </w:r>
    </w:p>
  </w:footnote>
  <w:footnote w:id="6">
    <w:p w:rsidR="000D6C1C" w:rsidRPr="00D17E32" w:rsidRDefault="000D6C1C">
      <w:pPr>
        <w:pStyle w:val="a3"/>
        <w:rPr>
          <w:lang w:val="en-US"/>
        </w:rPr>
      </w:pPr>
      <w:r>
        <w:rPr>
          <w:rStyle w:val="a5"/>
        </w:rPr>
        <w:footnoteRef/>
      </w:r>
      <w:r>
        <w:t xml:space="preserve"> Y=”pensionable age” – “legislative maturity age”,  in this case Y=47</w:t>
      </w:r>
    </w:p>
  </w:footnote>
  <w:footnote w:id="7">
    <w:p w:rsidR="000D6C1C" w:rsidRPr="00A22121" w:rsidRDefault="000D6C1C">
      <w:pPr>
        <w:pStyle w:val="a3"/>
        <w:rPr>
          <w:lang w:val="en-US"/>
        </w:rPr>
      </w:pPr>
      <w:r>
        <w:rPr>
          <w:rStyle w:val="a5"/>
        </w:rPr>
        <w:footnoteRef/>
      </w:r>
      <w:r>
        <w:t xml:space="preserve"> </w:t>
      </w:r>
      <w:r>
        <w:rPr>
          <w:lang w:val="en-US"/>
        </w:rPr>
        <w:t>This is done because as for now, we are not able to determine the MCB for the elderly population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76628"/>
    <w:multiLevelType w:val="hybridMultilevel"/>
    <w:tmpl w:val="A004426E"/>
    <w:lvl w:ilvl="0" w:tplc="0419000F">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1">
    <w:nsid w:val="52141F12"/>
    <w:multiLevelType w:val="hybridMultilevel"/>
    <w:tmpl w:val="419AFF0C"/>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734B6449"/>
    <w:multiLevelType w:val="hybridMultilevel"/>
    <w:tmpl w:val="1F869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587"/>
    <w:rsid w:val="0000430A"/>
    <w:rsid w:val="00010028"/>
    <w:rsid w:val="0002093C"/>
    <w:rsid w:val="00030813"/>
    <w:rsid w:val="00030BC3"/>
    <w:rsid w:val="00036B25"/>
    <w:rsid w:val="00037AEA"/>
    <w:rsid w:val="00073A92"/>
    <w:rsid w:val="00086395"/>
    <w:rsid w:val="000866AF"/>
    <w:rsid w:val="000868DF"/>
    <w:rsid w:val="00092E67"/>
    <w:rsid w:val="000C7B90"/>
    <w:rsid w:val="000D6C1C"/>
    <w:rsid w:val="000E07FD"/>
    <w:rsid w:val="000E61FA"/>
    <w:rsid w:val="000F5EE2"/>
    <w:rsid w:val="00100662"/>
    <w:rsid w:val="0010650C"/>
    <w:rsid w:val="00117321"/>
    <w:rsid w:val="001175AD"/>
    <w:rsid w:val="00121951"/>
    <w:rsid w:val="00124909"/>
    <w:rsid w:val="001374F1"/>
    <w:rsid w:val="00144072"/>
    <w:rsid w:val="00146DC2"/>
    <w:rsid w:val="00163E2D"/>
    <w:rsid w:val="00173831"/>
    <w:rsid w:val="00187B06"/>
    <w:rsid w:val="001A3044"/>
    <w:rsid w:val="001B30DE"/>
    <w:rsid w:val="001C41E5"/>
    <w:rsid w:val="001C4A55"/>
    <w:rsid w:val="001D1374"/>
    <w:rsid w:val="001D6108"/>
    <w:rsid w:val="00212C16"/>
    <w:rsid w:val="00216BDD"/>
    <w:rsid w:val="00224F1B"/>
    <w:rsid w:val="00230335"/>
    <w:rsid w:val="00230F6C"/>
    <w:rsid w:val="002449FC"/>
    <w:rsid w:val="002463D1"/>
    <w:rsid w:val="002464C3"/>
    <w:rsid w:val="0025386A"/>
    <w:rsid w:val="0027240C"/>
    <w:rsid w:val="002A67EB"/>
    <w:rsid w:val="002B2B53"/>
    <w:rsid w:val="002D745D"/>
    <w:rsid w:val="002E2E00"/>
    <w:rsid w:val="002E463A"/>
    <w:rsid w:val="002F21DE"/>
    <w:rsid w:val="002F68C0"/>
    <w:rsid w:val="0031351C"/>
    <w:rsid w:val="00327D98"/>
    <w:rsid w:val="00330145"/>
    <w:rsid w:val="003479A8"/>
    <w:rsid w:val="00351D2F"/>
    <w:rsid w:val="00357D9F"/>
    <w:rsid w:val="003623AF"/>
    <w:rsid w:val="00371BD5"/>
    <w:rsid w:val="003A191E"/>
    <w:rsid w:val="003A58CD"/>
    <w:rsid w:val="003D0B29"/>
    <w:rsid w:val="003D5971"/>
    <w:rsid w:val="003E7F8E"/>
    <w:rsid w:val="003F22FF"/>
    <w:rsid w:val="004024C9"/>
    <w:rsid w:val="00420C4D"/>
    <w:rsid w:val="004240E4"/>
    <w:rsid w:val="00426385"/>
    <w:rsid w:val="00444EA0"/>
    <w:rsid w:val="004651E2"/>
    <w:rsid w:val="004830C4"/>
    <w:rsid w:val="00484C7F"/>
    <w:rsid w:val="00490866"/>
    <w:rsid w:val="004934A3"/>
    <w:rsid w:val="004B1570"/>
    <w:rsid w:val="004B2674"/>
    <w:rsid w:val="004B33BF"/>
    <w:rsid w:val="004C055F"/>
    <w:rsid w:val="004E1C58"/>
    <w:rsid w:val="004F2C4B"/>
    <w:rsid w:val="004F5516"/>
    <w:rsid w:val="0051033C"/>
    <w:rsid w:val="005123D7"/>
    <w:rsid w:val="00531A09"/>
    <w:rsid w:val="00544820"/>
    <w:rsid w:val="005464C5"/>
    <w:rsid w:val="00546A60"/>
    <w:rsid w:val="0056634B"/>
    <w:rsid w:val="00575CAC"/>
    <w:rsid w:val="005844D2"/>
    <w:rsid w:val="0058515E"/>
    <w:rsid w:val="005A1C52"/>
    <w:rsid w:val="005B13F9"/>
    <w:rsid w:val="005B4A3B"/>
    <w:rsid w:val="005B5840"/>
    <w:rsid w:val="005B7BFF"/>
    <w:rsid w:val="005D2DF4"/>
    <w:rsid w:val="005D698A"/>
    <w:rsid w:val="005E1C4B"/>
    <w:rsid w:val="005F0CE6"/>
    <w:rsid w:val="005F282E"/>
    <w:rsid w:val="005F36B6"/>
    <w:rsid w:val="005F6F1C"/>
    <w:rsid w:val="006006E6"/>
    <w:rsid w:val="00601833"/>
    <w:rsid w:val="00616470"/>
    <w:rsid w:val="00617620"/>
    <w:rsid w:val="00627EE0"/>
    <w:rsid w:val="00643526"/>
    <w:rsid w:val="00662552"/>
    <w:rsid w:val="00667387"/>
    <w:rsid w:val="006675D5"/>
    <w:rsid w:val="0067365C"/>
    <w:rsid w:val="00690F35"/>
    <w:rsid w:val="00694816"/>
    <w:rsid w:val="006970FA"/>
    <w:rsid w:val="006B3DA3"/>
    <w:rsid w:val="006E11EB"/>
    <w:rsid w:val="006E6F38"/>
    <w:rsid w:val="006F6031"/>
    <w:rsid w:val="006F7749"/>
    <w:rsid w:val="00720A27"/>
    <w:rsid w:val="007211C8"/>
    <w:rsid w:val="007238B8"/>
    <w:rsid w:val="0073039D"/>
    <w:rsid w:val="00753850"/>
    <w:rsid w:val="00783C15"/>
    <w:rsid w:val="007A550F"/>
    <w:rsid w:val="007A5839"/>
    <w:rsid w:val="007B0942"/>
    <w:rsid w:val="007D1033"/>
    <w:rsid w:val="007E74A9"/>
    <w:rsid w:val="007F33D2"/>
    <w:rsid w:val="00830EEC"/>
    <w:rsid w:val="008310F3"/>
    <w:rsid w:val="00837089"/>
    <w:rsid w:val="00843CFC"/>
    <w:rsid w:val="00847F30"/>
    <w:rsid w:val="00850CF6"/>
    <w:rsid w:val="008510B0"/>
    <w:rsid w:val="00866A65"/>
    <w:rsid w:val="00870486"/>
    <w:rsid w:val="00894EEA"/>
    <w:rsid w:val="008C43D6"/>
    <w:rsid w:val="008C5359"/>
    <w:rsid w:val="008C6026"/>
    <w:rsid w:val="008D1853"/>
    <w:rsid w:val="008E17EA"/>
    <w:rsid w:val="008F18EB"/>
    <w:rsid w:val="008F3EA3"/>
    <w:rsid w:val="008F5EE8"/>
    <w:rsid w:val="00933290"/>
    <w:rsid w:val="00950153"/>
    <w:rsid w:val="009651F3"/>
    <w:rsid w:val="00966870"/>
    <w:rsid w:val="009672A5"/>
    <w:rsid w:val="00972506"/>
    <w:rsid w:val="00974446"/>
    <w:rsid w:val="00976F19"/>
    <w:rsid w:val="0098147B"/>
    <w:rsid w:val="009B4D07"/>
    <w:rsid w:val="009C4EE9"/>
    <w:rsid w:val="009D231B"/>
    <w:rsid w:val="009D7B27"/>
    <w:rsid w:val="009E6FE6"/>
    <w:rsid w:val="00A069D4"/>
    <w:rsid w:val="00A13F7E"/>
    <w:rsid w:val="00A17C8F"/>
    <w:rsid w:val="00A22121"/>
    <w:rsid w:val="00A320D7"/>
    <w:rsid w:val="00A5225F"/>
    <w:rsid w:val="00A73311"/>
    <w:rsid w:val="00A85A47"/>
    <w:rsid w:val="00A90465"/>
    <w:rsid w:val="00A94194"/>
    <w:rsid w:val="00A97413"/>
    <w:rsid w:val="00A97AFA"/>
    <w:rsid w:val="00AA567D"/>
    <w:rsid w:val="00AA6147"/>
    <w:rsid w:val="00AA7FBE"/>
    <w:rsid w:val="00AC78D1"/>
    <w:rsid w:val="00AD65F7"/>
    <w:rsid w:val="00B00C00"/>
    <w:rsid w:val="00B101B2"/>
    <w:rsid w:val="00B13231"/>
    <w:rsid w:val="00B338DE"/>
    <w:rsid w:val="00B5395A"/>
    <w:rsid w:val="00B67933"/>
    <w:rsid w:val="00B737A1"/>
    <w:rsid w:val="00B939C5"/>
    <w:rsid w:val="00B95FF7"/>
    <w:rsid w:val="00BB4AD8"/>
    <w:rsid w:val="00BC16D6"/>
    <w:rsid w:val="00BC321A"/>
    <w:rsid w:val="00BE2B74"/>
    <w:rsid w:val="00BF199F"/>
    <w:rsid w:val="00C222DB"/>
    <w:rsid w:val="00C3184B"/>
    <w:rsid w:val="00C5320D"/>
    <w:rsid w:val="00C6260B"/>
    <w:rsid w:val="00C804B4"/>
    <w:rsid w:val="00C85057"/>
    <w:rsid w:val="00C953EA"/>
    <w:rsid w:val="00CA034B"/>
    <w:rsid w:val="00CA0C06"/>
    <w:rsid w:val="00CA4B4E"/>
    <w:rsid w:val="00CB77D8"/>
    <w:rsid w:val="00CD259E"/>
    <w:rsid w:val="00CF6BCD"/>
    <w:rsid w:val="00D04736"/>
    <w:rsid w:val="00D165D6"/>
    <w:rsid w:val="00D17E32"/>
    <w:rsid w:val="00D22A9B"/>
    <w:rsid w:val="00D27B82"/>
    <w:rsid w:val="00D40D3C"/>
    <w:rsid w:val="00D6346F"/>
    <w:rsid w:val="00D67F9E"/>
    <w:rsid w:val="00D712D0"/>
    <w:rsid w:val="00D76793"/>
    <w:rsid w:val="00D812CD"/>
    <w:rsid w:val="00DA3595"/>
    <w:rsid w:val="00E31988"/>
    <w:rsid w:val="00E32F3F"/>
    <w:rsid w:val="00E466AD"/>
    <w:rsid w:val="00E52747"/>
    <w:rsid w:val="00E64EFB"/>
    <w:rsid w:val="00E85EBC"/>
    <w:rsid w:val="00E938CE"/>
    <w:rsid w:val="00E94BAE"/>
    <w:rsid w:val="00EC59CB"/>
    <w:rsid w:val="00F050EF"/>
    <w:rsid w:val="00F115B5"/>
    <w:rsid w:val="00F209F9"/>
    <w:rsid w:val="00F329B0"/>
    <w:rsid w:val="00F33B73"/>
    <w:rsid w:val="00F6240A"/>
    <w:rsid w:val="00F62CC3"/>
    <w:rsid w:val="00F67F69"/>
    <w:rsid w:val="00F77E9C"/>
    <w:rsid w:val="00F90AF9"/>
    <w:rsid w:val="00F92CCB"/>
    <w:rsid w:val="00FA3A6E"/>
    <w:rsid w:val="00FC3587"/>
    <w:rsid w:val="00FC3611"/>
    <w:rsid w:val="00FD54CB"/>
    <w:rsid w:val="00FD597D"/>
    <w:rsid w:val="00FF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E1C58"/>
    <w:pPr>
      <w:spacing w:after="0" w:line="240" w:lineRule="auto"/>
    </w:pPr>
    <w:rPr>
      <w:sz w:val="20"/>
      <w:szCs w:val="20"/>
    </w:rPr>
  </w:style>
  <w:style w:type="character" w:customStyle="1" w:styleId="a4">
    <w:name w:val="Текст сноски Знак"/>
    <w:basedOn w:val="a0"/>
    <w:link w:val="a3"/>
    <w:uiPriority w:val="99"/>
    <w:semiHidden/>
    <w:rsid w:val="004E1C58"/>
    <w:rPr>
      <w:sz w:val="20"/>
      <w:szCs w:val="20"/>
      <w:lang w:val="en-GB"/>
    </w:rPr>
  </w:style>
  <w:style w:type="character" w:styleId="a5">
    <w:name w:val="footnote reference"/>
    <w:basedOn w:val="a0"/>
    <w:uiPriority w:val="99"/>
    <w:semiHidden/>
    <w:unhideWhenUsed/>
    <w:rsid w:val="004E1C58"/>
    <w:rPr>
      <w:vertAlign w:val="superscript"/>
    </w:rPr>
  </w:style>
  <w:style w:type="character" w:styleId="a6">
    <w:name w:val="Strong"/>
    <w:basedOn w:val="a0"/>
    <w:uiPriority w:val="22"/>
    <w:qFormat/>
    <w:rsid w:val="00AA7FBE"/>
    <w:rPr>
      <w:rFonts w:ascii="Sylfaen" w:hAnsi="Sylfaen" w:cs="Times New Roman"/>
      <w:bCs/>
      <w:color w:val="000000"/>
      <w:sz w:val="24"/>
      <w:szCs w:val="24"/>
      <w:shd w:val="clear" w:color="auto" w:fill="FFFFFF"/>
      <w:lang w:val="hy-AM"/>
    </w:rPr>
  </w:style>
  <w:style w:type="paragraph" w:styleId="a7">
    <w:name w:val="List Paragraph"/>
    <w:basedOn w:val="a"/>
    <w:uiPriority w:val="34"/>
    <w:qFormat/>
    <w:rsid w:val="0031351C"/>
    <w:pPr>
      <w:ind w:left="720"/>
      <w:contextualSpacing/>
    </w:pPr>
  </w:style>
  <w:style w:type="table" w:styleId="a8">
    <w:name w:val="Table Grid"/>
    <w:basedOn w:val="a1"/>
    <w:uiPriority w:val="59"/>
    <w:rsid w:val="00030813"/>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308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30813"/>
    <w:rPr>
      <w:rFonts w:ascii="Tahoma" w:hAnsi="Tahoma" w:cs="Tahoma"/>
      <w:sz w:val="16"/>
      <w:szCs w:val="16"/>
      <w:lang w:val="en-GB"/>
    </w:rPr>
  </w:style>
  <w:style w:type="table" w:customStyle="1" w:styleId="TableNormal1">
    <w:name w:val="Table Normal1"/>
    <w:uiPriority w:val="99"/>
    <w:semiHidden/>
    <w:rsid w:val="00850CF6"/>
    <w:pPr>
      <w:spacing w:after="0" w:line="240" w:lineRule="auto"/>
    </w:pPr>
    <w:rPr>
      <w:rFonts w:ascii="Calibri" w:eastAsia="Calibri" w:hAnsi="Calibri" w:cs="Times New Roman"/>
      <w:sz w:val="20"/>
      <w:szCs w:val="20"/>
      <w:lang w:val="en-US"/>
    </w:rPr>
    <w:tblPr>
      <w:tblCellMar>
        <w:top w:w="0" w:type="dxa"/>
        <w:left w:w="108" w:type="dxa"/>
        <w:bottom w:w="0" w:type="dxa"/>
        <w:right w:w="108" w:type="dxa"/>
      </w:tblCellMar>
    </w:tblPr>
  </w:style>
  <w:style w:type="table" w:customStyle="1" w:styleId="LightShading-Accent11">
    <w:name w:val="Light Shading - Accent 11"/>
    <w:basedOn w:val="a1"/>
    <w:uiPriority w:val="60"/>
    <w:rsid w:val="004651E2"/>
    <w:pPr>
      <w:spacing w:after="0" w:line="240" w:lineRule="auto"/>
    </w:pPr>
    <w:rPr>
      <w:color w:val="365F91" w:themeColor="accent1" w:themeShade="BF"/>
      <w:lang w:val="en-C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horttext">
    <w:name w:val="short_text"/>
    <w:basedOn w:val="a0"/>
    <w:rsid w:val="000D6C1C"/>
  </w:style>
  <w:style w:type="character" w:customStyle="1" w:styleId="hps">
    <w:name w:val="hps"/>
    <w:basedOn w:val="a0"/>
    <w:rsid w:val="000D6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E1C58"/>
    <w:pPr>
      <w:spacing w:after="0" w:line="240" w:lineRule="auto"/>
    </w:pPr>
    <w:rPr>
      <w:sz w:val="20"/>
      <w:szCs w:val="20"/>
    </w:rPr>
  </w:style>
  <w:style w:type="character" w:customStyle="1" w:styleId="a4">
    <w:name w:val="Текст сноски Знак"/>
    <w:basedOn w:val="a0"/>
    <w:link w:val="a3"/>
    <w:uiPriority w:val="99"/>
    <w:semiHidden/>
    <w:rsid w:val="004E1C58"/>
    <w:rPr>
      <w:sz w:val="20"/>
      <w:szCs w:val="20"/>
      <w:lang w:val="en-GB"/>
    </w:rPr>
  </w:style>
  <w:style w:type="character" w:styleId="a5">
    <w:name w:val="footnote reference"/>
    <w:basedOn w:val="a0"/>
    <w:uiPriority w:val="99"/>
    <w:semiHidden/>
    <w:unhideWhenUsed/>
    <w:rsid w:val="004E1C58"/>
    <w:rPr>
      <w:vertAlign w:val="superscript"/>
    </w:rPr>
  </w:style>
  <w:style w:type="character" w:styleId="a6">
    <w:name w:val="Strong"/>
    <w:basedOn w:val="a0"/>
    <w:uiPriority w:val="22"/>
    <w:qFormat/>
    <w:rsid w:val="00AA7FBE"/>
    <w:rPr>
      <w:rFonts w:ascii="Sylfaen" w:hAnsi="Sylfaen" w:cs="Times New Roman"/>
      <w:bCs/>
      <w:color w:val="000000"/>
      <w:sz w:val="24"/>
      <w:szCs w:val="24"/>
      <w:shd w:val="clear" w:color="auto" w:fill="FFFFFF"/>
      <w:lang w:val="hy-AM"/>
    </w:rPr>
  </w:style>
  <w:style w:type="paragraph" w:styleId="a7">
    <w:name w:val="List Paragraph"/>
    <w:basedOn w:val="a"/>
    <w:uiPriority w:val="34"/>
    <w:qFormat/>
    <w:rsid w:val="0031351C"/>
    <w:pPr>
      <w:ind w:left="720"/>
      <w:contextualSpacing/>
    </w:pPr>
  </w:style>
  <w:style w:type="table" w:styleId="a8">
    <w:name w:val="Table Grid"/>
    <w:basedOn w:val="a1"/>
    <w:uiPriority w:val="59"/>
    <w:rsid w:val="00030813"/>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308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30813"/>
    <w:rPr>
      <w:rFonts w:ascii="Tahoma" w:hAnsi="Tahoma" w:cs="Tahoma"/>
      <w:sz w:val="16"/>
      <w:szCs w:val="16"/>
      <w:lang w:val="en-GB"/>
    </w:rPr>
  </w:style>
  <w:style w:type="table" w:customStyle="1" w:styleId="TableNormal1">
    <w:name w:val="Table Normal1"/>
    <w:uiPriority w:val="99"/>
    <w:semiHidden/>
    <w:rsid w:val="00850CF6"/>
    <w:pPr>
      <w:spacing w:after="0" w:line="240" w:lineRule="auto"/>
    </w:pPr>
    <w:rPr>
      <w:rFonts w:ascii="Calibri" w:eastAsia="Calibri" w:hAnsi="Calibri" w:cs="Times New Roman"/>
      <w:sz w:val="20"/>
      <w:szCs w:val="20"/>
      <w:lang w:val="en-US"/>
    </w:rPr>
    <w:tblPr>
      <w:tblCellMar>
        <w:top w:w="0" w:type="dxa"/>
        <w:left w:w="108" w:type="dxa"/>
        <w:bottom w:w="0" w:type="dxa"/>
        <w:right w:w="108" w:type="dxa"/>
      </w:tblCellMar>
    </w:tblPr>
  </w:style>
  <w:style w:type="table" w:customStyle="1" w:styleId="LightShading-Accent11">
    <w:name w:val="Light Shading - Accent 11"/>
    <w:basedOn w:val="a1"/>
    <w:uiPriority w:val="60"/>
    <w:rsid w:val="004651E2"/>
    <w:pPr>
      <w:spacing w:after="0" w:line="240" w:lineRule="auto"/>
    </w:pPr>
    <w:rPr>
      <w:color w:val="365F91" w:themeColor="accent1" w:themeShade="BF"/>
      <w:lang w:val="en-C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horttext">
    <w:name w:val="short_text"/>
    <w:basedOn w:val="a0"/>
    <w:rsid w:val="000D6C1C"/>
  </w:style>
  <w:style w:type="character" w:customStyle="1" w:styleId="hps">
    <w:name w:val="hps"/>
    <w:basedOn w:val="a0"/>
    <w:rsid w:val="000D6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2101">
      <w:bodyDiv w:val="1"/>
      <w:marLeft w:val="0"/>
      <w:marRight w:val="0"/>
      <w:marTop w:val="0"/>
      <w:marBottom w:val="0"/>
      <w:divBdr>
        <w:top w:val="none" w:sz="0" w:space="0" w:color="auto"/>
        <w:left w:val="none" w:sz="0" w:space="0" w:color="auto"/>
        <w:bottom w:val="none" w:sz="0" w:space="0" w:color="auto"/>
        <w:right w:val="none" w:sz="0" w:space="0" w:color="auto"/>
      </w:divBdr>
    </w:div>
    <w:div w:id="287784082">
      <w:bodyDiv w:val="1"/>
      <w:marLeft w:val="0"/>
      <w:marRight w:val="0"/>
      <w:marTop w:val="0"/>
      <w:marBottom w:val="0"/>
      <w:divBdr>
        <w:top w:val="none" w:sz="0" w:space="0" w:color="auto"/>
        <w:left w:val="none" w:sz="0" w:space="0" w:color="auto"/>
        <w:bottom w:val="none" w:sz="0" w:space="0" w:color="auto"/>
        <w:right w:val="none" w:sz="0" w:space="0" w:color="auto"/>
      </w:divBdr>
    </w:div>
    <w:div w:id="645277650">
      <w:bodyDiv w:val="1"/>
      <w:marLeft w:val="0"/>
      <w:marRight w:val="0"/>
      <w:marTop w:val="0"/>
      <w:marBottom w:val="0"/>
      <w:divBdr>
        <w:top w:val="none" w:sz="0" w:space="0" w:color="auto"/>
        <w:left w:val="none" w:sz="0" w:space="0" w:color="auto"/>
        <w:bottom w:val="none" w:sz="0" w:space="0" w:color="auto"/>
        <w:right w:val="none" w:sz="0" w:space="0" w:color="auto"/>
      </w:divBdr>
    </w:div>
    <w:div w:id="75867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D:\My%20documents\Downloads\ADS%20model%20April%202013.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My%20documents\Downloads\ADS%20model%20April%202013.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egios\Downloads\ADS%20model%20April%202013%20(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egios\Downloads\ADS%20model%20April%202013%20(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egios\Downloads\ADS%20model%20April%202013%20(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egios\Desktop\Ads_pension\ADS%20model%20April%202013%20(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egios\Desktop\Ads_pension\assumptions.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Regios\Desktop\Ads_pension\assumption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0"/>
    <c:plotArea>
      <c:layout>
        <c:manualLayout>
          <c:layoutTarget val="inner"/>
          <c:xMode val="edge"/>
          <c:yMode val="edge"/>
          <c:x val="7.0580266133486599E-2"/>
          <c:y val="5.7527627602601328E-2"/>
          <c:w val="0.90561948288204852"/>
          <c:h val="0.75515773927172869"/>
        </c:manualLayout>
      </c:layout>
      <c:barChart>
        <c:barDir val="col"/>
        <c:grouping val="clustered"/>
        <c:varyColors val="0"/>
        <c:ser>
          <c:idx val="0"/>
          <c:order val="0"/>
          <c:tx>
            <c:strRef>
              <c:f>'Social(P)'!$B$4</c:f>
              <c:strCache>
                <c:ptCount val="1"/>
                <c:pt idx="0">
                  <c:v>Социальные пенсии (тыс чел)</c:v>
                </c:pt>
              </c:strCache>
            </c:strRef>
          </c:tx>
          <c:invertIfNegative val="0"/>
          <c:cat>
            <c:numRef>
              <c:f>'Social(P)'!$H$1:$U$1</c:f>
              <c:numCache>
                <c:formatCode>0</c:formatCode>
                <c:ptCount val="14"/>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numCache>
            </c:numRef>
          </c:cat>
          <c:val>
            <c:numRef>
              <c:f>'Social(P)'!$H$4:$U$4</c:f>
              <c:numCache>
                <c:formatCode>0.00</c:formatCode>
                <c:ptCount val="14"/>
                <c:pt idx="0">
                  <c:v>449.35500000000002</c:v>
                </c:pt>
                <c:pt idx="1">
                  <c:v>447.8</c:v>
                </c:pt>
                <c:pt idx="2">
                  <c:v>447.8</c:v>
                </c:pt>
                <c:pt idx="3">
                  <c:v>447.8</c:v>
                </c:pt>
                <c:pt idx="4">
                  <c:v>453.149482874402</c:v>
                </c:pt>
                <c:pt idx="5">
                  <c:v>459.91006518112647</c:v>
                </c:pt>
                <c:pt idx="6">
                  <c:v>470.21060320777565</c:v>
                </c:pt>
                <c:pt idx="7">
                  <c:v>482.81844674712193</c:v>
                </c:pt>
                <c:pt idx="8">
                  <c:v>498.17489721121501</c:v>
                </c:pt>
                <c:pt idx="9">
                  <c:v>516.0305766383434</c:v>
                </c:pt>
                <c:pt idx="10">
                  <c:v>536.47128265213405</c:v>
                </c:pt>
                <c:pt idx="11">
                  <c:v>559.2037450453339</c:v>
                </c:pt>
                <c:pt idx="12">
                  <c:v>582.74261140570115</c:v>
                </c:pt>
                <c:pt idx="13">
                  <c:v>603.11072666947302</c:v>
                </c:pt>
              </c:numCache>
            </c:numRef>
          </c:val>
        </c:ser>
        <c:ser>
          <c:idx val="1"/>
          <c:order val="1"/>
          <c:tx>
            <c:strRef>
              <c:f>'Social(P)'!$B$5</c:f>
              <c:strCache>
                <c:ptCount val="1"/>
                <c:pt idx="0">
                  <c:v>Возрастные пенсии (тыс чел)</c:v>
                </c:pt>
              </c:strCache>
            </c:strRef>
          </c:tx>
          <c:invertIfNegative val="0"/>
          <c:cat>
            <c:numRef>
              <c:f>'Social(P)'!$H$1:$U$1</c:f>
              <c:numCache>
                <c:formatCode>0</c:formatCode>
                <c:ptCount val="14"/>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numCache>
            </c:numRef>
          </c:cat>
          <c:val>
            <c:numRef>
              <c:f>'Social(P)'!$H$5:$U$5</c:f>
              <c:numCache>
                <c:formatCode>0.0</c:formatCode>
                <c:ptCount val="14"/>
                <c:pt idx="0">
                  <c:v>302.76436872610168</c:v>
                </c:pt>
                <c:pt idx="1">
                  <c:v>302.75610557316725</c:v>
                </c:pt>
                <c:pt idx="2">
                  <c:v>304.20109168408186</c:v>
                </c:pt>
                <c:pt idx="3">
                  <c:v>307.46631181449169</c:v>
                </c:pt>
                <c:pt idx="4">
                  <c:v>311.13934836988807</c:v>
                </c:pt>
                <c:pt idx="5">
                  <c:v>315.78126732381401</c:v>
                </c:pt>
                <c:pt idx="6">
                  <c:v>322.85377388200681</c:v>
                </c:pt>
                <c:pt idx="7">
                  <c:v>331.51051160638593</c:v>
                </c:pt>
                <c:pt idx="8">
                  <c:v>342.05448477913438</c:v>
                </c:pt>
                <c:pt idx="9">
                  <c:v>354.31446668712908</c:v>
                </c:pt>
                <c:pt idx="10">
                  <c:v>368.34936728772232</c:v>
                </c:pt>
                <c:pt idx="11">
                  <c:v>383.95782278235708</c:v>
                </c:pt>
                <c:pt idx="12">
                  <c:v>400.11996754367726</c:v>
                </c:pt>
                <c:pt idx="13">
                  <c:v>414.10502622782741</c:v>
                </c:pt>
              </c:numCache>
            </c:numRef>
          </c:val>
        </c:ser>
        <c:dLbls>
          <c:showLegendKey val="0"/>
          <c:showVal val="0"/>
          <c:showCatName val="0"/>
          <c:showSerName val="0"/>
          <c:showPercent val="0"/>
          <c:showBubbleSize val="0"/>
        </c:dLbls>
        <c:gapWidth val="150"/>
        <c:axId val="165487744"/>
        <c:axId val="165489280"/>
      </c:barChart>
      <c:catAx>
        <c:axId val="165487744"/>
        <c:scaling>
          <c:orientation val="minMax"/>
        </c:scaling>
        <c:delete val="0"/>
        <c:axPos val="b"/>
        <c:numFmt formatCode="0" sourceLinked="1"/>
        <c:majorTickMark val="out"/>
        <c:minorTickMark val="none"/>
        <c:tickLblPos val="nextTo"/>
        <c:txPr>
          <a:bodyPr/>
          <a:lstStyle/>
          <a:p>
            <a:pPr>
              <a:defRPr lang="en-US" sz="900"/>
            </a:pPr>
            <a:endParaRPr lang="ru-RU"/>
          </a:p>
        </c:txPr>
        <c:crossAx val="165489280"/>
        <c:crosses val="autoZero"/>
        <c:auto val="1"/>
        <c:lblAlgn val="ctr"/>
        <c:lblOffset val="100"/>
        <c:noMultiLvlLbl val="0"/>
      </c:catAx>
      <c:valAx>
        <c:axId val="165489280"/>
        <c:scaling>
          <c:orientation val="minMax"/>
        </c:scaling>
        <c:delete val="0"/>
        <c:axPos val="l"/>
        <c:majorGridlines/>
        <c:numFmt formatCode="General" sourceLinked="0"/>
        <c:majorTickMark val="out"/>
        <c:minorTickMark val="none"/>
        <c:tickLblPos val="nextTo"/>
        <c:txPr>
          <a:bodyPr/>
          <a:lstStyle/>
          <a:p>
            <a:pPr>
              <a:defRPr lang="en-US" sz="900"/>
            </a:pPr>
            <a:endParaRPr lang="ru-RU"/>
          </a:p>
        </c:txPr>
        <c:crossAx val="165487744"/>
        <c:crosses val="autoZero"/>
        <c:crossBetween val="between"/>
      </c:valAx>
    </c:plotArea>
    <c:legend>
      <c:legendPos val="t"/>
      <c:layout>
        <c:manualLayout>
          <c:xMode val="edge"/>
          <c:yMode val="edge"/>
          <c:x val="0.10674744781918492"/>
          <c:y val="5.0938984188414534E-2"/>
          <c:w val="0.89325248798682388"/>
          <c:h val="0.11937459584172108"/>
        </c:manualLayout>
      </c:layout>
      <c:overlay val="0"/>
      <c:txPr>
        <a:bodyPr/>
        <a:lstStyle/>
        <a:p>
          <a:pPr>
            <a:defRPr lang="en-US" sz="900"/>
          </a:pPr>
          <a:endParaRPr lang="ru-RU"/>
        </a:p>
      </c:txPr>
    </c:legend>
    <c:plotVisOnly val="1"/>
    <c:dispBlanksAs val="gap"/>
    <c:showDLblsOverMax val="0"/>
  </c:chart>
  <c:txPr>
    <a:bodyPr/>
    <a:lstStyle/>
    <a:p>
      <a:pPr>
        <a:defRPr b="1"/>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1"/>
    <c:plotArea>
      <c:layout>
        <c:manualLayout>
          <c:layoutTarget val="inner"/>
          <c:xMode val="edge"/>
          <c:yMode val="edge"/>
          <c:x val="3.6111111111111212E-2"/>
          <c:y val="3.3357212188255568E-2"/>
          <c:w val="0.9388888888888921"/>
          <c:h val="0.77483553380030989"/>
        </c:manualLayout>
      </c:layout>
      <c:barChart>
        <c:barDir val="col"/>
        <c:grouping val="clustered"/>
        <c:varyColors val="0"/>
        <c:ser>
          <c:idx val="0"/>
          <c:order val="0"/>
          <c:tx>
            <c:strRef>
              <c:f>'Social(P)'!$B$9</c:f>
              <c:strCache>
                <c:ptCount val="1"/>
                <c:pt idx="0">
                  <c:v>Индекс "пенсионеров" (пенсионеры/работоспособное население)</c:v>
                </c:pt>
              </c:strCache>
            </c:strRef>
          </c:tx>
          <c:invertIfNegative val="0"/>
          <c:dLbls>
            <c:txPr>
              <a:bodyPr/>
              <a:lstStyle/>
              <a:p>
                <a:pPr>
                  <a:defRPr lang="en-US" sz="800"/>
                </a:pPr>
                <a:endParaRPr lang="ru-RU"/>
              </a:p>
            </c:txPr>
            <c:showLegendKey val="0"/>
            <c:showVal val="1"/>
            <c:showCatName val="0"/>
            <c:showSerName val="0"/>
            <c:showPercent val="0"/>
            <c:showBubbleSize val="0"/>
            <c:showLeaderLines val="0"/>
          </c:dLbls>
          <c:cat>
            <c:numRef>
              <c:f>'Social(P)'!$H$1:$U$1</c:f>
              <c:numCache>
                <c:formatCode>0</c:formatCode>
                <c:ptCount val="14"/>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numCache>
            </c:numRef>
          </c:cat>
          <c:val>
            <c:numRef>
              <c:f>'Social(P)'!$H$9:$U$9</c:f>
              <c:numCache>
                <c:formatCode>0.000</c:formatCode>
                <c:ptCount val="14"/>
                <c:pt idx="0">
                  <c:v>0.9957016763774994</c:v>
                </c:pt>
                <c:pt idx="1">
                  <c:v>0.99997270764400392</c:v>
                </c:pt>
                <c:pt idx="2">
                  <c:v>1.0047727728171778</c:v>
                </c:pt>
                <c:pt idx="3" formatCode="0.00">
                  <c:v>1.0107337554652878</c:v>
                </c:pt>
                <c:pt idx="4" formatCode="0.00">
                  <c:v>1.0119461430870831</c:v>
                </c:pt>
                <c:pt idx="5" formatCode="0.00">
                  <c:v>1.0149190996839379</c:v>
                </c:pt>
                <c:pt idx="6" formatCode="0.00">
                  <c:v>1.0223968527903218</c:v>
                </c:pt>
                <c:pt idx="7" formatCode="0.00">
                  <c:v>1.0268131842483681</c:v>
                </c:pt>
                <c:pt idx="8" formatCode="0.00">
                  <c:v>1.0318058486943738</c:v>
                </c:pt>
                <c:pt idx="9" formatCode="0.00">
                  <c:v>1.0358421902168919</c:v>
                </c:pt>
                <c:pt idx="10" formatCode="0.00">
                  <c:v>1.0396114240883829</c:v>
                </c:pt>
                <c:pt idx="11" formatCode="0.00">
                  <c:v>1.0423740526814658</c:v>
                </c:pt>
                <c:pt idx="12" formatCode="0.00">
                  <c:v>1.0420935420567843</c:v>
                </c:pt>
                <c:pt idx="13" formatCode="0.00">
                  <c:v>1.0349521638972619</c:v>
                </c:pt>
              </c:numCache>
            </c:numRef>
          </c:val>
        </c:ser>
        <c:dLbls>
          <c:showLegendKey val="0"/>
          <c:showVal val="1"/>
          <c:showCatName val="0"/>
          <c:showSerName val="0"/>
          <c:showPercent val="0"/>
          <c:showBubbleSize val="0"/>
        </c:dLbls>
        <c:gapWidth val="150"/>
        <c:overlap val="-25"/>
        <c:axId val="165495936"/>
        <c:axId val="165507072"/>
      </c:barChart>
      <c:catAx>
        <c:axId val="165495936"/>
        <c:scaling>
          <c:orientation val="minMax"/>
        </c:scaling>
        <c:delete val="0"/>
        <c:axPos val="b"/>
        <c:numFmt formatCode="0" sourceLinked="1"/>
        <c:majorTickMark val="none"/>
        <c:minorTickMark val="none"/>
        <c:tickLblPos val="nextTo"/>
        <c:txPr>
          <a:bodyPr/>
          <a:lstStyle/>
          <a:p>
            <a:pPr>
              <a:defRPr lang="en-US"/>
            </a:pPr>
            <a:endParaRPr lang="ru-RU"/>
          </a:p>
        </c:txPr>
        <c:crossAx val="165507072"/>
        <c:crosses val="autoZero"/>
        <c:auto val="1"/>
        <c:lblAlgn val="ctr"/>
        <c:lblOffset val="100"/>
        <c:noMultiLvlLbl val="0"/>
      </c:catAx>
      <c:valAx>
        <c:axId val="165507072"/>
        <c:scaling>
          <c:orientation val="minMax"/>
        </c:scaling>
        <c:delete val="1"/>
        <c:axPos val="l"/>
        <c:majorGridlines/>
        <c:numFmt formatCode="0.000" sourceLinked="1"/>
        <c:majorTickMark val="out"/>
        <c:minorTickMark val="none"/>
        <c:tickLblPos val="none"/>
        <c:crossAx val="165495936"/>
        <c:crosses val="autoZero"/>
        <c:crossBetween val="between"/>
      </c:valAx>
    </c:plotArea>
    <c:plotVisOnly val="1"/>
    <c:dispBlanksAs val="gap"/>
    <c:showDLblsOverMax val="0"/>
  </c:chart>
  <c:txPr>
    <a:bodyPr/>
    <a:lstStyle/>
    <a:p>
      <a:pPr>
        <a:defRPr b="1"/>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'[ADS model April 2013 (1).xls]Social(P)'!$B$63</c:f>
              <c:strCache>
                <c:ptCount val="1"/>
                <c:pt idx="0">
                  <c:v>Переводы из гос бюджета в систему (млрд драмов)</c:v>
                </c:pt>
              </c:strCache>
            </c:strRef>
          </c:tx>
          <c:invertIfNegative val="0"/>
          <c:cat>
            <c:numRef>
              <c:f>'[ADS model April 2013 (1).xls]Social(P)'!$H$1:$U$1</c:f>
              <c:numCache>
                <c:formatCode>0</c:formatCode>
                <c:ptCount val="14"/>
                <c:pt idx="0">
                  <c:v>2012</c:v>
                </c:pt>
                <c:pt idx="1">
                  <c:v>2013</c:v>
                </c:pt>
                <c:pt idx="2">
                  <c:v>2014</c:v>
                </c:pt>
                <c:pt idx="3">
                  <c:v>2015</c:v>
                </c:pt>
                <c:pt idx="4">
                  <c:v>2016</c:v>
                </c:pt>
                <c:pt idx="5">
                  <c:v>2017</c:v>
                </c:pt>
                <c:pt idx="6">
                  <c:v>2018</c:v>
                </c:pt>
                <c:pt idx="7">
                  <c:v>2019</c:v>
                </c:pt>
                <c:pt idx="8">
                  <c:v>2020</c:v>
                </c:pt>
                <c:pt idx="9">
                  <c:v>2021</c:v>
                </c:pt>
                <c:pt idx="10">
                  <c:v>2022</c:v>
                </c:pt>
                <c:pt idx="11">
                  <c:v>2023</c:v>
                </c:pt>
                <c:pt idx="12">
                  <c:v>2024</c:v>
                </c:pt>
                <c:pt idx="13">
                  <c:v>2025</c:v>
                </c:pt>
              </c:numCache>
            </c:numRef>
          </c:cat>
          <c:val>
            <c:numRef>
              <c:f>'[ADS model April 2013 (1).xls]Social(P)'!$C$63:$U$63</c:f>
              <c:numCache>
                <c:formatCode>General</c:formatCode>
                <c:ptCount val="14"/>
                <c:pt idx="2" formatCode="#,##0_ ;\-#,##0\ ">
                  <c:v>18000</c:v>
                </c:pt>
                <c:pt idx="3" formatCode="#,##0_ ;\-#,##0\ ">
                  <c:v>25000</c:v>
                </c:pt>
                <c:pt idx="4" formatCode="#,##0_ ;\-#,##0\ ">
                  <c:v>38802.586294507215</c:v>
                </c:pt>
                <c:pt idx="5" formatCode="#,##0_ ;\-#,##0\ ">
                  <c:v>46835.296847002355</c:v>
                </c:pt>
                <c:pt idx="6" formatCode="#,##0_ ;\-#,##0\ ">
                  <c:v>56484.448745102942</c:v>
                </c:pt>
                <c:pt idx="7" formatCode="#,##0_ ;\-#,##0\ ">
                  <c:v>67854.375018416467</c:v>
                </c:pt>
                <c:pt idx="8" formatCode="#,##0_ ;\-#,##0\ ">
                  <c:v>81158.405263574372</c:v>
                </c:pt>
                <c:pt idx="9" formatCode="#,##0_ ;\-#,##0\ ">
                  <c:v>96594.362279112946</c:v>
                </c:pt>
                <c:pt idx="10" formatCode="#,##0_ ;\-#,##0\ ">
                  <c:v>114666.56871750944</c:v>
                </c:pt>
                <c:pt idx="11" formatCode="#,##0_ ;\-#,##0\ ">
                  <c:v>135581.41053191651</c:v>
                </c:pt>
                <c:pt idx="12" formatCode="#,##0_ ;\-#,##0\ ">
                  <c:v>159695.9058108117</c:v>
                </c:pt>
                <c:pt idx="13" formatCode="#,##0_ ;\-#,##0\ ">
                  <c:v>181481.20072304321</c:v>
                </c:pt>
              </c:numCache>
            </c:numRef>
          </c:val>
        </c:ser>
        <c:dLbls>
          <c:showLegendKey val="0"/>
          <c:showVal val="0"/>
          <c:showCatName val="0"/>
          <c:showSerName val="0"/>
          <c:showPercent val="0"/>
          <c:showBubbleSize val="0"/>
        </c:dLbls>
        <c:gapWidth val="150"/>
        <c:axId val="165514240"/>
        <c:axId val="165532416"/>
      </c:barChart>
      <c:catAx>
        <c:axId val="165514240"/>
        <c:scaling>
          <c:orientation val="minMax"/>
        </c:scaling>
        <c:delete val="0"/>
        <c:axPos val="b"/>
        <c:numFmt formatCode="0" sourceLinked="1"/>
        <c:majorTickMark val="out"/>
        <c:minorTickMark val="none"/>
        <c:tickLblPos val="nextTo"/>
        <c:txPr>
          <a:bodyPr/>
          <a:lstStyle/>
          <a:p>
            <a:pPr>
              <a:defRPr lang="en-US"/>
            </a:pPr>
            <a:endParaRPr lang="ru-RU"/>
          </a:p>
        </c:txPr>
        <c:crossAx val="165532416"/>
        <c:crosses val="autoZero"/>
        <c:auto val="1"/>
        <c:lblAlgn val="ctr"/>
        <c:lblOffset val="100"/>
        <c:noMultiLvlLbl val="0"/>
      </c:catAx>
      <c:valAx>
        <c:axId val="165532416"/>
        <c:scaling>
          <c:orientation val="minMax"/>
          <c:max val="185000"/>
        </c:scaling>
        <c:delete val="0"/>
        <c:axPos val="l"/>
        <c:majorGridlines/>
        <c:numFmt formatCode="General" sourceLinked="1"/>
        <c:majorTickMark val="out"/>
        <c:minorTickMark val="none"/>
        <c:tickLblPos val="nextTo"/>
        <c:txPr>
          <a:bodyPr/>
          <a:lstStyle/>
          <a:p>
            <a:pPr>
              <a:defRPr lang="en-US"/>
            </a:pPr>
            <a:endParaRPr lang="ru-RU"/>
          </a:p>
        </c:txPr>
        <c:crossAx val="165514240"/>
        <c:crosses val="autoZero"/>
        <c:crossBetween val="between"/>
      </c:valAx>
    </c:plotArea>
    <c:plotVisOnly val="1"/>
    <c:dispBlanksAs val="gap"/>
    <c:showDLblsOverMax val="0"/>
  </c:chart>
  <c:txPr>
    <a:bodyPr/>
    <a:lstStyle/>
    <a:p>
      <a:pPr>
        <a:defRPr sz="800" b="1">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0"/>
    </mc:Choice>
    <mc:Fallback>
      <c:style val="20"/>
    </mc:Fallback>
  </mc:AlternateContent>
  <c:chart>
    <c:autoTitleDeleted val="1"/>
    <c:plotArea>
      <c:layout/>
      <c:barChart>
        <c:barDir val="col"/>
        <c:grouping val="clustered"/>
        <c:varyColors val="0"/>
        <c:ser>
          <c:idx val="0"/>
          <c:order val="0"/>
          <c:tx>
            <c:strRef>
              <c:f>'[ADS model April 2013 (1).xls]Social(P)'!$H$77:$I$77</c:f>
              <c:strCache>
                <c:ptCount val="1"/>
                <c:pt idx="0">
                  <c:v>7.7% 7.5%</c:v>
                </c:pt>
              </c:strCache>
            </c:strRef>
          </c:tx>
          <c:invertIfNegative val="0"/>
          <c:cat>
            <c:numRef>
              <c:f>'[ADS model April 2013 (1).xls]Social(P)'!$J$1:$U$1</c:f>
              <c:numCache>
                <c:formatCode>0</c:formatCode>
                <c:ptCount val="12"/>
                <c:pt idx="0">
                  <c:v>2014</c:v>
                </c:pt>
                <c:pt idx="1">
                  <c:v>2015</c:v>
                </c:pt>
                <c:pt idx="2">
                  <c:v>2016</c:v>
                </c:pt>
                <c:pt idx="3">
                  <c:v>2017</c:v>
                </c:pt>
                <c:pt idx="4">
                  <c:v>2018</c:v>
                </c:pt>
                <c:pt idx="5">
                  <c:v>2019</c:v>
                </c:pt>
                <c:pt idx="6">
                  <c:v>2020</c:v>
                </c:pt>
                <c:pt idx="7">
                  <c:v>2021</c:v>
                </c:pt>
                <c:pt idx="8">
                  <c:v>2022</c:v>
                </c:pt>
                <c:pt idx="9">
                  <c:v>2023</c:v>
                </c:pt>
                <c:pt idx="10">
                  <c:v>2024</c:v>
                </c:pt>
                <c:pt idx="11">
                  <c:v>2025</c:v>
                </c:pt>
              </c:numCache>
            </c:numRef>
          </c:cat>
          <c:val>
            <c:numRef>
              <c:f>'[ADS model April 2013 (1).xls]Social(P)'!$J$77:$U$77</c:f>
              <c:numCache>
                <c:formatCode>#,##0_ ;\-#,##0\ </c:formatCode>
                <c:ptCount val="12"/>
                <c:pt idx="0">
                  <c:v>18000</c:v>
                </c:pt>
                <c:pt idx="1">
                  <c:v>26796.299994761321</c:v>
                </c:pt>
                <c:pt idx="2">
                  <c:v>41366.688362546891</c:v>
                </c:pt>
                <c:pt idx="3">
                  <c:v>50808.681683559735</c:v>
                </c:pt>
                <c:pt idx="4">
                  <c:v>60793.296055027153</c:v>
                </c:pt>
                <c:pt idx="5">
                  <c:v>72757.22516949175</c:v>
                </c:pt>
                <c:pt idx="6">
                  <c:v>86695.322265077179</c:v>
                </c:pt>
                <c:pt idx="7">
                  <c:v>102794.86444125064</c:v>
                </c:pt>
                <c:pt idx="8">
                  <c:v>122046.37799563375</c:v>
                </c:pt>
                <c:pt idx="9">
                  <c:v>144341.93638193418</c:v>
                </c:pt>
                <c:pt idx="10">
                  <c:v>170054.32557545012</c:v>
                </c:pt>
                <c:pt idx="11">
                  <c:v>193681.96792698931</c:v>
                </c:pt>
              </c:numCache>
            </c:numRef>
          </c:val>
        </c:ser>
        <c:dLbls>
          <c:showLegendKey val="0"/>
          <c:showVal val="0"/>
          <c:showCatName val="0"/>
          <c:showSerName val="0"/>
          <c:showPercent val="0"/>
          <c:showBubbleSize val="0"/>
        </c:dLbls>
        <c:gapWidth val="150"/>
        <c:axId val="165949440"/>
        <c:axId val="165950976"/>
      </c:barChart>
      <c:catAx>
        <c:axId val="165949440"/>
        <c:scaling>
          <c:orientation val="minMax"/>
        </c:scaling>
        <c:delete val="0"/>
        <c:axPos val="b"/>
        <c:numFmt formatCode="0" sourceLinked="1"/>
        <c:majorTickMark val="out"/>
        <c:minorTickMark val="none"/>
        <c:tickLblPos val="nextTo"/>
        <c:txPr>
          <a:bodyPr/>
          <a:lstStyle/>
          <a:p>
            <a:pPr>
              <a:defRPr lang="en-US"/>
            </a:pPr>
            <a:endParaRPr lang="ru-RU"/>
          </a:p>
        </c:txPr>
        <c:crossAx val="165950976"/>
        <c:crosses val="autoZero"/>
        <c:auto val="1"/>
        <c:lblAlgn val="ctr"/>
        <c:lblOffset val="100"/>
        <c:noMultiLvlLbl val="0"/>
      </c:catAx>
      <c:valAx>
        <c:axId val="165950976"/>
        <c:scaling>
          <c:orientation val="minMax"/>
          <c:max val="200000"/>
        </c:scaling>
        <c:delete val="0"/>
        <c:axPos val="l"/>
        <c:majorGridlines/>
        <c:numFmt formatCode="#,##0_ ;\-#,##0\ " sourceLinked="1"/>
        <c:majorTickMark val="out"/>
        <c:minorTickMark val="none"/>
        <c:tickLblPos val="nextTo"/>
        <c:txPr>
          <a:bodyPr/>
          <a:lstStyle/>
          <a:p>
            <a:pPr>
              <a:defRPr lang="en-US"/>
            </a:pPr>
            <a:endParaRPr lang="ru-RU"/>
          </a:p>
        </c:txPr>
        <c:crossAx val="165949440"/>
        <c:crosses val="autoZero"/>
        <c:crossBetween val="between"/>
      </c:valAx>
    </c:plotArea>
    <c:plotVisOnly val="1"/>
    <c:dispBlanksAs val="gap"/>
    <c:showDLblsOverMax val="0"/>
  </c:chart>
  <c:txPr>
    <a:bodyPr/>
    <a:lstStyle/>
    <a:p>
      <a:pPr>
        <a:defRPr sz="800" b="1"/>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2"/>
    </mc:Choice>
    <mc:Fallback>
      <c:style val="22"/>
    </mc:Fallback>
  </mc:AlternateContent>
  <c:chart>
    <c:autoTitleDeleted val="1"/>
    <c:plotArea>
      <c:layout/>
      <c:barChart>
        <c:barDir val="col"/>
        <c:grouping val="clustered"/>
        <c:varyColors val="0"/>
        <c:ser>
          <c:idx val="0"/>
          <c:order val="0"/>
          <c:tx>
            <c:strRef>
              <c:f>'[ADS model April 2013 (1).xls]Social(P)'!$B$78</c:f>
              <c:strCache>
                <c:ptCount val="1"/>
                <c:pt idx="0">
                  <c:v>Расходы на пенсионную систему ( государство) % от ВВП</c:v>
                </c:pt>
              </c:strCache>
            </c:strRef>
          </c:tx>
          <c:invertIfNegative val="0"/>
          <c:cat>
            <c:numRef>
              <c:f>'[ADS model April 2013 (1).xls]Social(P)'!$J$1:$U$1</c:f>
              <c:numCache>
                <c:formatCode>0</c:formatCode>
                <c:ptCount val="12"/>
                <c:pt idx="0">
                  <c:v>2014</c:v>
                </c:pt>
                <c:pt idx="1">
                  <c:v>2015</c:v>
                </c:pt>
                <c:pt idx="2">
                  <c:v>2016</c:v>
                </c:pt>
                <c:pt idx="3">
                  <c:v>2017</c:v>
                </c:pt>
                <c:pt idx="4">
                  <c:v>2018</c:v>
                </c:pt>
                <c:pt idx="5">
                  <c:v>2019</c:v>
                </c:pt>
                <c:pt idx="6">
                  <c:v>2020</c:v>
                </c:pt>
                <c:pt idx="7">
                  <c:v>2021</c:v>
                </c:pt>
                <c:pt idx="8">
                  <c:v>2022</c:v>
                </c:pt>
                <c:pt idx="9">
                  <c:v>2023</c:v>
                </c:pt>
                <c:pt idx="10">
                  <c:v>2024</c:v>
                </c:pt>
                <c:pt idx="11">
                  <c:v>2025</c:v>
                </c:pt>
              </c:numCache>
            </c:numRef>
          </c:cat>
          <c:val>
            <c:numRef>
              <c:f>'[ADS model April 2013 (1).xls]Social(P)'!$J$78:$U$78</c:f>
              <c:numCache>
                <c:formatCode>0.00%</c:formatCode>
                <c:ptCount val="12"/>
                <c:pt idx="0">
                  <c:v>3.6896632444356988E-3</c:v>
                </c:pt>
                <c:pt idx="1">
                  <c:v>4.9663518407676924E-3</c:v>
                </c:pt>
                <c:pt idx="2">
                  <c:v>6.9291678106007904E-3</c:v>
                </c:pt>
                <c:pt idx="3">
                  <c:v>7.6907246380184856E-3</c:v>
                </c:pt>
                <c:pt idx="4">
                  <c:v>8.3172259989556727E-3</c:v>
                </c:pt>
                <c:pt idx="5">
                  <c:v>8.994267489742051E-3</c:v>
                </c:pt>
                <c:pt idx="6">
                  <c:v>9.6847345372741197E-3</c:v>
                </c:pt>
                <c:pt idx="7">
                  <c:v>1.0378705275972715E-2</c:v>
                </c:pt>
                <c:pt idx="8">
                  <c:v>1.1136773904245733E-2</c:v>
                </c:pt>
                <c:pt idx="9">
                  <c:v>1.1900611886220321E-2</c:v>
                </c:pt>
                <c:pt idx="10">
                  <c:v>1.2664443309069935E-2</c:v>
                </c:pt>
                <c:pt idx="11">
                  <c:v>1.302532494094886E-2</c:v>
                </c:pt>
              </c:numCache>
            </c:numRef>
          </c:val>
        </c:ser>
        <c:dLbls>
          <c:showLegendKey val="0"/>
          <c:showVal val="0"/>
          <c:showCatName val="0"/>
          <c:showSerName val="0"/>
          <c:showPercent val="0"/>
          <c:showBubbleSize val="0"/>
        </c:dLbls>
        <c:gapWidth val="150"/>
        <c:axId val="165966592"/>
        <c:axId val="165968128"/>
      </c:barChart>
      <c:catAx>
        <c:axId val="165966592"/>
        <c:scaling>
          <c:orientation val="minMax"/>
        </c:scaling>
        <c:delete val="0"/>
        <c:axPos val="b"/>
        <c:numFmt formatCode="0" sourceLinked="1"/>
        <c:majorTickMark val="out"/>
        <c:minorTickMark val="none"/>
        <c:tickLblPos val="nextTo"/>
        <c:txPr>
          <a:bodyPr/>
          <a:lstStyle/>
          <a:p>
            <a:pPr>
              <a:defRPr lang="en-US"/>
            </a:pPr>
            <a:endParaRPr lang="ru-RU"/>
          </a:p>
        </c:txPr>
        <c:crossAx val="165968128"/>
        <c:crosses val="autoZero"/>
        <c:auto val="1"/>
        <c:lblAlgn val="ctr"/>
        <c:lblOffset val="100"/>
        <c:noMultiLvlLbl val="0"/>
      </c:catAx>
      <c:valAx>
        <c:axId val="165968128"/>
        <c:scaling>
          <c:orientation val="minMax"/>
        </c:scaling>
        <c:delete val="0"/>
        <c:axPos val="l"/>
        <c:majorGridlines/>
        <c:numFmt formatCode="0.0%" sourceLinked="0"/>
        <c:majorTickMark val="out"/>
        <c:minorTickMark val="none"/>
        <c:tickLblPos val="nextTo"/>
        <c:txPr>
          <a:bodyPr/>
          <a:lstStyle/>
          <a:p>
            <a:pPr>
              <a:defRPr lang="en-US"/>
            </a:pPr>
            <a:endParaRPr lang="ru-RU"/>
          </a:p>
        </c:txPr>
        <c:crossAx val="165966592"/>
        <c:crosses val="autoZero"/>
        <c:crossBetween val="between"/>
      </c:valAx>
    </c:plotArea>
    <c:plotVisOnly val="1"/>
    <c:dispBlanksAs val="gap"/>
    <c:showDLblsOverMax val="0"/>
  </c:chart>
  <c:txPr>
    <a:bodyPr/>
    <a:lstStyle/>
    <a:p>
      <a:pPr>
        <a:defRPr sz="900" b="1"/>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manualLayout>
          <c:layoutTarget val="inner"/>
          <c:xMode val="edge"/>
          <c:yMode val="edge"/>
          <c:x val="0.16632707368208197"/>
          <c:y val="5.1472043046079601E-2"/>
          <c:w val="0.80320504629090061"/>
          <c:h val="0.83238677223761459"/>
        </c:manualLayout>
      </c:layout>
      <c:barChart>
        <c:barDir val="col"/>
        <c:grouping val="clustered"/>
        <c:varyColors val="0"/>
        <c:ser>
          <c:idx val="0"/>
          <c:order val="0"/>
          <c:tx>
            <c:strRef>
              <c:f>'Social(P)'!$B$84</c:f>
              <c:strCache>
                <c:ptCount val="1"/>
                <c:pt idx="0">
                  <c:v>Общие расходы государства но пенсионную систему, млн драмов</c:v>
                </c:pt>
              </c:strCache>
            </c:strRef>
          </c:tx>
          <c:invertIfNegative val="0"/>
          <c:cat>
            <c:numRef>
              <c:f>'Social(P)'!$J$1:$U$1</c:f>
              <c:numCache>
                <c:formatCode>0</c:formatCode>
                <c:ptCount val="12"/>
                <c:pt idx="0">
                  <c:v>2014</c:v>
                </c:pt>
                <c:pt idx="1">
                  <c:v>2015</c:v>
                </c:pt>
                <c:pt idx="2">
                  <c:v>2016</c:v>
                </c:pt>
                <c:pt idx="3">
                  <c:v>2017</c:v>
                </c:pt>
                <c:pt idx="4">
                  <c:v>2018</c:v>
                </c:pt>
                <c:pt idx="5">
                  <c:v>2019</c:v>
                </c:pt>
                <c:pt idx="6">
                  <c:v>2020</c:v>
                </c:pt>
                <c:pt idx="7">
                  <c:v>2021</c:v>
                </c:pt>
                <c:pt idx="8">
                  <c:v>2022</c:v>
                </c:pt>
                <c:pt idx="9">
                  <c:v>2023</c:v>
                </c:pt>
                <c:pt idx="10">
                  <c:v>2024</c:v>
                </c:pt>
                <c:pt idx="11">
                  <c:v>2025</c:v>
                </c:pt>
              </c:numCache>
            </c:numRef>
          </c:cat>
          <c:val>
            <c:numRef>
              <c:f>'Social(P)'!$J$84:$U$84</c:f>
              <c:numCache>
                <c:formatCode>_-* #,##0.0\ _դ_ր_._-;\-* #,##0.0\ _դ_ր_._-;_-* "-"??\ _դ_ր_._-;_-@_-</c:formatCode>
                <c:ptCount val="12"/>
                <c:pt idx="0">
                  <c:v>253456.52037865581</c:v>
                </c:pt>
                <c:pt idx="1">
                  <c:v>296755.47021011222</c:v>
                </c:pt>
                <c:pt idx="2">
                  <c:v>371848.1338327119</c:v>
                </c:pt>
                <c:pt idx="3">
                  <c:v>418580.9143470861</c:v>
                </c:pt>
                <c:pt idx="4">
                  <c:v>467993.30264940427</c:v>
                </c:pt>
                <c:pt idx="5">
                  <c:v>526613.63262961048</c:v>
                </c:pt>
                <c:pt idx="6">
                  <c:v>593858.50565993704</c:v>
                </c:pt>
                <c:pt idx="7">
                  <c:v>670596.65444505156</c:v>
                </c:pt>
                <c:pt idx="8">
                  <c:v>758880.55551226134</c:v>
                </c:pt>
                <c:pt idx="9">
                  <c:v>859343.79356461077</c:v>
                </c:pt>
                <c:pt idx="10">
                  <c:v>971581.98775189382</c:v>
                </c:pt>
                <c:pt idx="11">
                  <c:v>1085422.6122783981</c:v>
                </c:pt>
              </c:numCache>
            </c:numRef>
          </c:val>
        </c:ser>
        <c:dLbls>
          <c:showLegendKey val="0"/>
          <c:showVal val="0"/>
          <c:showCatName val="0"/>
          <c:showSerName val="0"/>
          <c:showPercent val="0"/>
          <c:showBubbleSize val="0"/>
        </c:dLbls>
        <c:gapWidth val="150"/>
        <c:axId val="165979648"/>
        <c:axId val="165981184"/>
      </c:barChart>
      <c:catAx>
        <c:axId val="165979648"/>
        <c:scaling>
          <c:orientation val="minMax"/>
        </c:scaling>
        <c:delete val="0"/>
        <c:axPos val="b"/>
        <c:numFmt formatCode="0" sourceLinked="1"/>
        <c:majorTickMark val="out"/>
        <c:minorTickMark val="none"/>
        <c:tickLblPos val="nextTo"/>
        <c:txPr>
          <a:bodyPr/>
          <a:lstStyle/>
          <a:p>
            <a:pPr>
              <a:defRPr lang="en-US"/>
            </a:pPr>
            <a:endParaRPr lang="ru-RU"/>
          </a:p>
        </c:txPr>
        <c:crossAx val="165981184"/>
        <c:crosses val="autoZero"/>
        <c:auto val="1"/>
        <c:lblAlgn val="ctr"/>
        <c:lblOffset val="100"/>
        <c:noMultiLvlLbl val="0"/>
      </c:catAx>
      <c:valAx>
        <c:axId val="165981184"/>
        <c:scaling>
          <c:orientation val="minMax"/>
        </c:scaling>
        <c:delete val="0"/>
        <c:axPos val="l"/>
        <c:majorGridlines/>
        <c:numFmt formatCode="General" sourceLinked="0"/>
        <c:majorTickMark val="out"/>
        <c:minorTickMark val="none"/>
        <c:tickLblPos val="nextTo"/>
        <c:txPr>
          <a:bodyPr/>
          <a:lstStyle/>
          <a:p>
            <a:pPr>
              <a:defRPr lang="en-US"/>
            </a:pPr>
            <a:endParaRPr lang="ru-RU"/>
          </a:p>
        </c:txPr>
        <c:crossAx val="165979648"/>
        <c:crosses val="autoZero"/>
        <c:crossBetween val="between"/>
      </c:valAx>
    </c:plotArea>
    <c:plotVisOnly val="1"/>
    <c:dispBlanksAs val="gap"/>
    <c:showDLblsOverMax val="0"/>
  </c:chart>
  <c:txPr>
    <a:bodyPr/>
    <a:lstStyle/>
    <a:p>
      <a:pPr>
        <a:defRPr sz="800" b="1"/>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Sheet1!$AW$37</c:f>
              <c:strCache>
                <c:ptCount val="1"/>
                <c:pt idx="0">
                  <c:v>Средняя заработная плата, тыс драмов</c:v>
                </c:pt>
              </c:strCache>
            </c:strRef>
          </c:tx>
          <c:invertIfNegative val="0"/>
          <c:cat>
            <c:numRef>
              <c:f>Sheet1!$AV$38:$AV$85</c:f>
              <c:numCache>
                <c:formatCode>General</c:formatCode>
                <c:ptCount val="48"/>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2036</c:v>
                </c:pt>
                <c:pt idx="23">
                  <c:v>2037</c:v>
                </c:pt>
                <c:pt idx="24">
                  <c:v>2038</c:v>
                </c:pt>
                <c:pt idx="25">
                  <c:v>2039</c:v>
                </c:pt>
                <c:pt idx="26">
                  <c:v>2040</c:v>
                </c:pt>
                <c:pt idx="27">
                  <c:v>2041</c:v>
                </c:pt>
                <c:pt idx="28">
                  <c:v>2042</c:v>
                </c:pt>
                <c:pt idx="29">
                  <c:v>2043</c:v>
                </c:pt>
                <c:pt idx="30">
                  <c:v>2044</c:v>
                </c:pt>
                <c:pt idx="31">
                  <c:v>2045</c:v>
                </c:pt>
                <c:pt idx="32">
                  <c:v>2046</c:v>
                </c:pt>
                <c:pt idx="33">
                  <c:v>2047</c:v>
                </c:pt>
                <c:pt idx="34">
                  <c:v>2048</c:v>
                </c:pt>
                <c:pt idx="35">
                  <c:v>2049</c:v>
                </c:pt>
                <c:pt idx="36">
                  <c:v>2050</c:v>
                </c:pt>
                <c:pt idx="37">
                  <c:v>2051</c:v>
                </c:pt>
                <c:pt idx="38">
                  <c:v>2052</c:v>
                </c:pt>
                <c:pt idx="39">
                  <c:v>2053</c:v>
                </c:pt>
                <c:pt idx="40">
                  <c:v>2054</c:v>
                </c:pt>
                <c:pt idx="41">
                  <c:v>2055</c:v>
                </c:pt>
                <c:pt idx="42">
                  <c:v>2056</c:v>
                </c:pt>
                <c:pt idx="43">
                  <c:v>2057</c:v>
                </c:pt>
                <c:pt idx="44">
                  <c:v>2058</c:v>
                </c:pt>
                <c:pt idx="45">
                  <c:v>2059</c:v>
                </c:pt>
                <c:pt idx="46">
                  <c:v>2060</c:v>
                </c:pt>
                <c:pt idx="47">
                  <c:v>2061</c:v>
                </c:pt>
              </c:numCache>
            </c:numRef>
          </c:cat>
          <c:val>
            <c:numRef>
              <c:f>Sheet1!$AW$38:$AW$85</c:f>
              <c:numCache>
                <c:formatCode>General</c:formatCode>
                <c:ptCount val="48"/>
                <c:pt idx="0">
                  <c:v>121.3</c:v>
                </c:pt>
                <c:pt idx="1">
                  <c:v>153.4</c:v>
                </c:pt>
                <c:pt idx="2">
                  <c:v>169.8</c:v>
                </c:pt>
                <c:pt idx="3">
                  <c:v>188.8</c:v>
                </c:pt>
                <c:pt idx="4">
                  <c:v>209.3</c:v>
                </c:pt>
                <c:pt idx="5">
                  <c:v>231.4</c:v>
                </c:pt>
                <c:pt idx="6">
                  <c:v>253.6</c:v>
                </c:pt>
                <c:pt idx="7">
                  <c:v>278.10000000000002</c:v>
                </c:pt>
                <c:pt idx="8">
                  <c:v>304.89999999999969</c:v>
                </c:pt>
                <c:pt idx="9">
                  <c:v>334.1</c:v>
                </c:pt>
                <c:pt idx="10">
                  <c:v>366.1</c:v>
                </c:pt>
                <c:pt idx="11">
                  <c:v>401.2</c:v>
                </c:pt>
                <c:pt idx="12">
                  <c:v>408.82490909091382</c:v>
                </c:pt>
                <c:pt idx="13">
                  <c:v>433.13390909091385</c:v>
                </c:pt>
                <c:pt idx="14">
                  <c:v>457.44290909091382</c:v>
                </c:pt>
                <c:pt idx="15">
                  <c:v>481.75190909091384</c:v>
                </c:pt>
                <c:pt idx="16">
                  <c:v>506.06090909091381</c:v>
                </c:pt>
                <c:pt idx="17">
                  <c:v>530.3699090909106</c:v>
                </c:pt>
                <c:pt idx="18">
                  <c:v>554.67890909091386</c:v>
                </c:pt>
                <c:pt idx="19">
                  <c:v>578.98790909091247</c:v>
                </c:pt>
                <c:pt idx="20">
                  <c:v>603.29690909091346</c:v>
                </c:pt>
                <c:pt idx="21">
                  <c:v>627.60590909091297</c:v>
                </c:pt>
                <c:pt idx="22">
                  <c:v>651.91490909091249</c:v>
                </c:pt>
                <c:pt idx="23">
                  <c:v>676.22390909091348</c:v>
                </c:pt>
                <c:pt idx="24">
                  <c:v>700.53290909091072</c:v>
                </c:pt>
                <c:pt idx="25">
                  <c:v>724.84190909091012</c:v>
                </c:pt>
                <c:pt idx="26">
                  <c:v>749.15090909091248</c:v>
                </c:pt>
                <c:pt idx="27">
                  <c:v>773.45990909091108</c:v>
                </c:pt>
                <c:pt idx="28">
                  <c:v>797.76890909091298</c:v>
                </c:pt>
                <c:pt idx="29">
                  <c:v>822.07790909091239</c:v>
                </c:pt>
                <c:pt idx="30">
                  <c:v>846.38690909091247</c:v>
                </c:pt>
                <c:pt idx="31">
                  <c:v>870.69590909091346</c:v>
                </c:pt>
                <c:pt idx="32">
                  <c:v>895.00490909091297</c:v>
                </c:pt>
                <c:pt idx="33">
                  <c:v>919.31390909091249</c:v>
                </c:pt>
                <c:pt idx="34">
                  <c:v>943.62290909091246</c:v>
                </c:pt>
                <c:pt idx="35">
                  <c:v>967.93190909091072</c:v>
                </c:pt>
                <c:pt idx="36">
                  <c:v>992.24090909091296</c:v>
                </c:pt>
                <c:pt idx="37">
                  <c:v>1016.5499090909124</c:v>
                </c:pt>
                <c:pt idx="38">
                  <c:v>1040.8589090909138</c:v>
                </c:pt>
                <c:pt idx="39">
                  <c:v>1065.1679090909138</c:v>
                </c:pt>
                <c:pt idx="40">
                  <c:v>1089.4769090909151</c:v>
                </c:pt>
                <c:pt idx="41">
                  <c:v>1113.7859090909137</c:v>
                </c:pt>
                <c:pt idx="42">
                  <c:v>1138.0949090909128</c:v>
                </c:pt>
                <c:pt idx="43">
                  <c:v>1162.4039090909139</c:v>
                </c:pt>
                <c:pt idx="44">
                  <c:v>1186.7129090909139</c:v>
                </c:pt>
                <c:pt idx="45">
                  <c:v>1211.0219090909138</c:v>
                </c:pt>
                <c:pt idx="46">
                  <c:v>1235.3309090909138</c:v>
                </c:pt>
                <c:pt idx="47">
                  <c:v>1259.6399090909138</c:v>
                </c:pt>
              </c:numCache>
            </c:numRef>
          </c:val>
        </c:ser>
        <c:dLbls>
          <c:showLegendKey val="0"/>
          <c:showVal val="0"/>
          <c:showCatName val="0"/>
          <c:showSerName val="0"/>
          <c:showPercent val="0"/>
          <c:showBubbleSize val="0"/>
        </c:dLbls>
        <c:gapWidth val="150"/>
        <c:axId val="165989376"/>
        <c:axId val="166146816"/>
      </c:barChart>
      <c:catAx>
        <c:axId val="165989376"/>
        <c:scaling>
          <c:orientation val="minMax"/>
        </c:scaling>
        <c:delete val="0"/>
        <c:axPos val="b"/>
        <c:numFmt formatCode="General" sourceLinked="1"/>
        <c:majorTickMark val="out"/>
        <c:minorTickMark val="none"/>
        <c:tickLblPos val="nextTo"/>
        <c:txPr>
          <a:bodyPr/>
          <a:lstStyle/>
          <a:p>
            <a:pPr>
              <a:defRPr lang="en-US"/>
            </a:pPr>
            <a:endParaRPr lang="ru-RU"/>
          </a:p>
        </c:txPr>
        <c:crossAx val="166146816"/>
        <c:crosses val="autoZero"/>
        <c:auto val="1"/>
        <c:lblAlgn val="ctr"/>
        <c:lblOffset val="100"/>
        <c:noMultiLvlLbl val="0"/>
      </c:catAx>
      <c:valAx>
        <c:axId val="166146816"/>
        <c:scaling>
          <c:orientation val="minMax"/>
        </c:scaling>
        <c:delete val="0"/>
        <c:axPos val="l"/>
        <c:majorGridlines/>
        <c:numFmt formatCode="General" sourceLinked="1"/>
        <c:majorTickMark val="out"/>
        <c:minorTickMark val="none"/>
        <c:tickLblPos val="nextTo"/>
        <c:txPr>
          <a:bodyPr/>
          <a:lstStyle/>
          <a:p>
            <a:pPr>
              <a:defRPr lang="en-US"/>
            </a:pPr>
            <a:endParaRPr lang="ru-RU"/>
          </a:p>
        </c:txPr>
        <c:crossAx val="165989376"/>
        <c:crosses val="autoZero"/>
        <c:crossBetween val="between"/>
      </c:valAx>
    </c:plotArea>
    <c:plotVisOnly val="1"/>
    <c:dispBlanksAs val="gap"/>
    <c:showDLblsOverMax val="0"/>
  </c:chart>
  <c:txPr>
    <a:bodyPr/>
    <a:lstStyle/>
    <a:p>
      <a:pPr>
        <a:defRPr sz="900" b="1"/>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6478950940043274"/>
          <c:y val="0.14557277393893087"/>
          <c:w val="0.79541078115268427"/>
          <c:h val="0.7026304328922639"/>
        </c:manualLayout>
      </c:layout>
      <c:barChart>
        <c:barDir val="col"/>
        <c:grouping val="stacked"/>
        <c:varyColors val="0"/>
        <c:ser>
          <c:idx val="0"/>
          <c:order val="0"/>
          <c:tx>
            <c:strRef>
              <c:f>Sheet1!$I$35</c:f>
              <c:strCache>
                <c:ptCount val="1"/>
                <c:pt idx="0">
                  <c:v>Государственные ежемесячные вклады</c:v>
                </c:pt>
              </c:strCache>
            </c:strRef>
          </c:tx>
          <c:invertIfNegative val="0"/>
          <c:cat>
            <c:numRef>
              <c:f>Sheet1!$J$32:$BE$32</c:f>
              <c:numCache>
                <c:formatCode>General</c:formatCode>
                <c:ptCount val="48"/>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2036</c:v>
                </c:pt>
                <c:pt idx="23">
                  <c:v>2037</c:v>
                </c:pt>
                <c:pt idx="24">
                  <c:v>2038</c:v>
                </c:pt>
                <c:pt idx="25">
                  <c:v>2039</c:v>
                </c:pt>
                <c:pt idx="26">
                  <c:v>2040</c:v>
                </c:pt>
                <c:pt idx="27">
                  <c:v>2041</c:v>
                </c:pt>
                <c:pt idx="28">
                  <c:v>2042</c:v>
                </c:pt>
                <c:pt idx="29">
                  <c:v>2043</c:v>
                </c:pt>
                <c:pt idx="30">
                  <c:v>2044</c:v>
                </c:pt>
                <c:pt idx="31">
                  <c:v>2045</c:v>
                </c:pt>
                <c:pt idx="32">
                  <c:v>2046</c:v>
                </c:pt>
                <c:pt idx="33">
                  <c:v>2047</c:v>
                </c:pt>
                <c:pt idx="34">
                  <c:v>2048</c:v>
                </c:pt>
                <c:pt idx="35">
                  <c:v>2049</c:v>
                </c:pt>
                <c:pt idx="36">
                  <c:v>2050</c:v>
                </c:pt>
                <c:pt idx="37">
                  <c:v>2051</c:v>
                </c:pt>
                <c:pt idx="38">
                  <c:v>2052</c:v>
                </c:pt>
                <c:pt idx="39">
                  <c:v>2053</c:v>
                </c:pt>
                <c:pt idx="40">
                  <c:v>2054</c:v>
                </c:pt>
                <c:pt idx="41">
                  <c:v>2055</c:v>
                </c:pt>
                <c:pt idx="42">
                  <c:v>2056</c:v>
                </c:pt>
                <c:pt idx="43">
                  <c:v>2057</c:v>
                </c:pt>
                <c:pt idx="44">
                  <c:v>2058</c:v>
                </c:pt>
                <c:pt idx="45">
                  <c:v>2059</c:v>
                </c:pt>
                <c:pt idx="46">
                  <c:v>2060</c:v>
                </c:pt>
                <c:pt idx="47">
                  <c:v>2061</c:v>
                </c:pt>
              </c:numCache>
            </c:numRef>
          </c:cat>
          <c:val>
            <c:numRef>
              <c:f>Sheet1!$J$35:$BE$35</c:f>
              <c:numCache>
                <c:formatCode>General</c:formatCode>
                <c:ptCount val="48"/>
                <c:pt idx="0">
                  <c:v>6065</c:v>
                </c:pt>
                <c:pt idx="1">
                  <c:v>7670</c:v>
                </c:pt>
                <c:pt idx="2">
                  <c:v>8490</c:v>
                </c:pt>
                <c:pt idx="3">
                  <c:v>9440</c:v>
                </c:pt>
                <c:pt idx="4">
                  <c:v>10465</c:v>
                </c:pt>
                <c:pt idx="5">
                  <c:v>11570</c:v>
                </c:pt>
                <c:pt idx="6">
                  <c:v>12680</c:v>
                </c:pt>
                <c:pt idx="7">
                  <c:v>13905</c:v>
                </c:pt>
                <c:pt idx="8">
                  <c:v>15245</c:v>
                </c:pt>
                <c:pt idx="9">
                  <c:v>16705</c:v>
                </c:pt>
                <c:pt idx="10">
                  <c:v>18305</c:v>
                </c:pt>
                <c:pt idx="11">
                  <c:v>20060</c:v>
                </c:pt>
                <c:pt idx="12">
                  <c:v>20441.2454545457</c:v>
                </c:pt>
                <c:pt idx="13">
                  <c:v>21656.695454545694</c:v>
                </c:pt>
                <c:pt idx="14">
                  <c:v>22872.145454545695</c:v>
                </c:pt>
                <c:pt idx="15">
                  <c:v>24087.595454545695</c:v>
                </c:pt>
                <c:pt idx="16">
                  <c:v>25000</c:v>
                </c:pt>
                <c:pt idx="17">
                  <c:v>25000</c:v>
                </c:pt>
                <c:pt idx="18">
                  <c:v>25000</c:v>
                </c:pt>
                <c:pt idx="19">
                  <c:v>25000</c:v>
                </c:pt>
                <c:pt idx="20">
                  <c:v>25000</c:v>
                </c:pt>
                <c:pt idx="21">
                  <c:v>25000</c:v>
                </c:pt>
                <c:pt idx="22">
                  <c:v>25000</c:v>
                </c:pt>
                <c:pt idx="23">
                  <c:v>25000</c:v>
                </c:pt>
                <c:pt idx="24">
                  <c:v>25000</c:v>
                </c:pt>
                <c:pt idx="25">
                  <c:v>25000</c:v>
                </c:pt>
                <c:pt idx="26">
                  <c:v>25000</c:v>
                </c:pt>
                <c:pt idx="27">
                  <c:v>25000</c:v>
                </c:pt>
                <c:pt idx="28">
                  <c:v>25000</c:v>
                </c:pt>
                <c:pt idx="29">
                  <c:v>25000</c:v>
                </c:pt>
                <c:pt idx="30">
                  <c:v>25000</c:v>
                </c:pt>
                <c:pt idx="31">
                  <c:v>25000</c:v>
                </c:pt>
                <c:pt idx="32">
                  <c:v>25000</c:v>
                </c:pt>
                <c:pt idx="33">
                  <c:v>25000</c:v>
                </c:pt>
                <c:pt idx="34">
                  <c:v>25000</c:v>
                </c:pt>
                <c:pt idx="35">
                  <c:v>25000</c:v>
                </c:pt>
                <c:pt idx="36">
                  <c:v>25000</c:v>
                </c:pt>
                <c:pt idx="37">
                  <c:v>25000</c:v>
                </c:pt>
                <c:pt idx="38">
                  <c:v>25000</c:v>
                </c:pt>
                <c:pt idx="39">
                  <c:v>25000</c:v>
                </c:pt>
                <c:pt idx="40">
                  <c:v>25000</c:v>
                </c:pt>
                <c:pt idx="41">
                  <c:v>25000</c:v>
                </c:pt>
                <c:pt idx="42">
                  <c:v>25000</c:v>
                </c:pt>
                <c:pt idx="43">
                  <c:v>25000</c:v>
                </c:pt>
                <c:pt idx="44">
                  <c:v>25000</c:v>
                </c:pt>
                <c:pt idx="45">
                  <c:v>25000</c:v>
                </c:pt>
                <c:pt idx="46">
                  <c:v>25000</c:v>
                </c:pt>
                <c:pt idx="47">
                  <c:v>25000</c:v>
                </c:pt>
              </c:numCache>
            </c:numRef>
          </c:val>
        </c:ser>
        <c:ser>
          <c:idx val="1"/>
          <c:order val="1"/>
          <c:tx>
            <c:strRef>
              <c:f>Sheet1!$I$36</c:f>
              <c:strCache>
                <c:ptCount val="1"/>
                <c:pt idx="0">
                  <c:v>Частные ежемесячные вклады</c:v>
                </c:pt>
              </c:strCache>
            </c:strRef>
          </c:tx>
          <c:invertIfNegative val="0"/>
          <c:cat>
            <c:numRef>
              <c:f>Sheet1!$J$32:$BE$32</c:f>
              <c:numCache>
                <c:formatCode>General</c:formatCode>
                <c:ptCount val="48"/>
                <c:pt idx="0">
                  <c:v>2014</c:v>
                </c:pt>
                <c:pt idx="1">
                  <c:v>2015</c:v>
                </c:pt>
                <c:pt idx="2">
                  <c:v>2016</c:v>
                </c:pt>
                <c:pt idx="3">
                  <c:v>2017</c:v>
                </c:pt>
                <c:pt idx="4">
                  <c:v>2018</c:v>
                </c:pt>
                <c:pt idx="5">
                  <c:v>2019</c:v>
                </c:pt>
                <c:pt idx="6">
                  <c:v>2020</c:v>
                </c:pt>
                <c:pt idx="7">
                  <c:v>2021</c:v>
                </c:pt>
                <c:pt idx="8">
                  <c:v>2022</c:v>
                </c:pt>
                <c:pt idx="9">
                  <c:v>2023</c:v>
                </c:pt>
                <c:pt idx="10">
                  <c:v>2024</c:v>
                </c:pt>
                <c:pt idx="11">
                  <c:v>2025</c:v>
                </c:pt>
                <c:pt idx="12">
                  <c:v>2026</c:v>
                </c:pt>
                <c:pt idx="13">
                  <c:v>2027</c:v>
                </c:pt>
                <c:pt idx="14">
                  <c:v>2028</c:v>
                </c:pt>
                <c:pt idx="15">
                  <c:v>2029</c:v>
                </c:pt>
                <c:pt idx="16">
                  <c:v>2030</c:v>
                </c:pt>
                <c:pt idx="17">
                  <c:v>2031</c:v>
                </c:pt>
                <c:pt idx="18">
                  <c:v>2032</c:v>
                </c:pt>
                <c:pt idx="19">
                  <c:v>2033</c:v>
                </c:pt>
                <c:pt idx="20">
                  <c:v>2034</c:v>
                </c:pt>
                <c:pt idx="21">
                  <c:v>2035</c:v>
                </c:pt>
                <c:pt idx="22">
                  <c:v>2036</c:v>
                </c:pt>
                <c:pt idx="23">
                  <c:v>2037</c:v>
                </c:pt>
                <c:pt idx="24">
                  <c:v>2038</c:v>
                </c:pt>
                <c:pt idx="25">
                  <c:v>2039</c:v>
                </c:pt>
                <c:pt idx="26">
                  <c:v>2040</c:v>
                </c:pt>
                <c:pt idx="27">
                  <c:v>2041</c:v>
                </c:pt>
                <c:pt idx="28">
                  <c:v>2042</c:v>
                </c:pt>
                <c:pt idx="29">
                  <c:v>2043</c:v>
                </c:pt>
                <c:pt idx="30">
                  <c:v>2044</c:v>
                </c:pt>
                <c:pt idx="31">
                  <c:v>2045</c:v>
                </c:pt>
                <c:pt idx="32">
                  <c:v>2046</c:v>
                </c:pt>
                <c:pt idx="33">
                  <c:v>2047</c:v>
                </c:pt>
                <c:pt idx="34">
                  <c:v>2048</c:v>
                </c:pt>
                <c:pt idx="35">
                  <c:v>2049</c:v>
                </c:pt>
                <c:pt idx="36">
                  <c:v>2050</c:v>
                </c:pt>
                <c:pt idx="37">
                  <c:v>2051</c:v>
                </c:pt>
                <c:pt idx="38">
                  <c:v>2052</c:v>
                </c:pt>
                <c:pt idx="39">
                  <c:v>2053</c:v>
                </c:pt>
                <c:pt idx="40">
                  <c:v>2054</c:v>
                </c:pt>
                <c:pt idx="41">
                  <c:v>2055</c:v>
                </c:pt>
                <c:pt idx="42">
                  <c:v>2056</c:v>
                </c:pt>
                <c:pt idx="43">
                  <c:v>2057</c:v>
                </c:pt>
                <c:pt idx="44">
                  <c:v>2058</c:v>
                </c:pt>
                <c:pt idx="45">
                  <c:v>2059</c:v>
                </c:pt>
                <c:pt idx="46">
                  <c:v>2060</c:v>
                </c:pt>
                <c:pt idx="47">
                  <c:v>2061</c:v>
                </c:pt>
              </c:numCache>
            </c:numRef>
          </c:cat>
          <c:val>
            <c:numRef>
              <c:f>Sheet1!$J$36:$BE$36</c:f>
              <c:numCache>
                <c:formatCode>General</c:formatCode>
                <c:ptCount val="48"/>
                <c:pt idx="0">
                  <c:v>6065</c:v>
                </c:pt>
                <c:pt idx="1">
                  <c:v>7670</c:v>
                </c:pt>
                <c:pt idx="2">
                  <c:v>8490</c:v>
                </c:pt>
                <c:pt idx="3">
                  <c:v>9440</c:v>
                </c:pt>
                <c:pt idx="4">
                  <c:v>10465</c:v>
                </c:pt>
                <c:pt idx="5">
                  <c:v>11570</c:v>
                </c:pt>
                <c:pt idx="6">
                  <c:v>12680</c:v>
                </c:pt>
                <c:pt idx="7">
                  <c:v>13905</c:v>
                </c:pt>
                <c:pt idx="8">
                  <c:v>15245</c:v>
                </c:pt>
                <c:pt idx="9">
                  <c:v>16705</c:v>
                </c:pt>
                <c:pt idx="10">
                  <c:v>18305</c:v>
                </c:pt>
                <c:pt idx="11">
                  <c:v>20060</c:v>
                </c:pt>
                <c:pt idx="12">
                  <c:v>20441.2454545457</c:v>
                </c:pt>
                <c:pt idx="13">
                  <c:v>21656.695454545694</c:v>
                </c:pt>
                <c:pt idx="14">
                  <c:v>22872.145454545695</c:v>
                </c:pt>
                <c:pt idx="15">
                  <c:v>24087.595454545695</c:v>
                </c:pt>
                <c:pt idx="16">
                  <c:v>25303.0454545457</c:v>
                </c:pt>
                <c:pt idx="17">
                  <c:v>26518.4954545457</c:v>
                </c:pt>
                <c:pt idx="18">
                  <c:v>27733.945454545701</c:v>
                </c:pt>
                <c:pt idx="19">
                  <c:v>28949.395454545695</c:v>
                </c:pt>
                <c:pt idx="20">
                  <c:v>30164.845454545695</c:v>
                </c:pt>
                <c:pt idx="21">
                  <c:v>31380.2954545457</c:v>
                </c:pt>
                <c:pt idx="22">
                  <c:v>32595.7454545457</c:v>
                </c:pt>
                <c:pt idx="23">
                  <c:v>33811.195454545574</c:v>
                </c:pt>
                <c:pt idx="24">
                  <c:v>35026.645454545585</c:v>
                </c:pt>
                <c:pt idx="25">
                  <c:v>36242.095454545575</c:v>
                </c:pt>
                <c:pt idx="26">
                  <c:v>37457.545454545674</c:v>
                </c:pt>
                <c:pt idx="27">
                  <c:v>38672.995454545584</c:v>
                </c:pt>
                <c:pt idx="28">
                  <c:v>39888.445454545676</c:v>
                </c:pt>
                <c:pt idx="29">
                  <c:v>41103.895454545585</c:v>
                </c:pt>
                <c:pt idx="30">
                  <c:v>42319.345454545684</c:v>
                </c:pt>
                <c:pt idx="31">
                  <c:v>43534.795454545463</c:v>
                </c:pt>
                <c:pt idx="32">
                  <c:v>44750.245454545584</c:v>
                </c:pt>
                <c:pt idx="33">
                  <c:v>45965.695454545574</c:v>
                </c:pt>
                <c:pt idx="34">
                  <c:v>47181.145454545585</c:v>
                </c:pt>
                <c:pt idx="35">
                  <c:v>48396.595454545575</c:v>
                </c:pt>
                <c:pt idx="36">
                  <c:v>49612.045454545674</c:v>
                </c:pt>
                <c:pt idx="37">
                  <c:v>50827.495454545584</c:v>
                </c:pt>
                <c:pt idx="38">
                  <c:v>52042.945454545676</c:v>
                </c:pt>
                <c:pt idx="39">
                  <c:v>53258.395454545585</c:v>
                </c:pt>
                <c:pt idx="40">
                  <c:v>54473.845454545684</c:v>
                </c:pt>
                <c:pt idx="41">
                  <c:v>55689.295454545463</c:v>
                </c:pt>
                <c:pt idx="42">
                  <c:v>56904.745454545584</c:v>
                </c:pt>
                <c:pt idx="43">
                  <c:v>58120.195454545574</c:v>
                </c:pt>
                <c:pt idx="44">
                  <c:v>59335.645454545585</c:v>
                </c:pt>
                <c:pt idx="45">
                  <c:v>60551.095454545575</c:v>
                </c:pt>
                <c:pt idx="46">
                  <c:v>61766.545454545674</c:v>
                </c:pt>
                <c:pt idx="47">
                  <c:v>62981.995454545584</c:v>
                </c:pt>
              </c:numCache>
            </c:numRef>
          </c:val>
        </c:ser>
        <c:dLbls>
          <c:showLegendKey val="0"/>
          <c:showVal val="0"/>
          <c:showCatName val="0"/>
          <c:showSerName val="0"/>
          <c:showPercent val="0"/>
          <c:showBubbleSize val="0"/>
        </c:dLbls>
        <c:gapWidth val="150"/>
        <c:overlap val="100"/>
        <c:axId val="166185216"/>
        <c:axId val="166187008"/>
      </c:barChart>
      <c:catAx>
        <c:axId val="166185216"/>
        <c:scaling>
          <c:orientation val="minMax"/>
        </c:scaling>
        <c:delete val="0"/>
        <c:axPos val="b"/>
        <c:numFmt formatCode="General" sourceLinked="1"/>
        <c:majorTickMark val="out"/>
        <c:minorTickMark val="none"/>
        <c:tickLblPos val="nextTo"/>
        <c:txPr>
          <a:bodyPr/>
          <a:lstStyle/>
          <a:p>
            <a:pPr>
              <a:defRPr lang="en-US"/>
            </a:pPr>
            <a:endParaRPr lang="ru-RU"/>
          </a:p>
        </c:txPr>
        <c:crossAx val="166187008"/>
        <c:crosses val="autoZero"/>
        <c:auto val="1"/>
        <c:lblAlgn val="ctr"/>
        <c:lblOffset val="100"/>
        <c:noMultiLvlLbl val="0"/>
      </c:catAx>
      <c:valAx>
        <c:axId val="166187008"/>
        <c:scaling>
          <c:orientation val="minMax"/>
        </c:scaling>
        <c:delete val="0"/>
        <c:axPos val="l"/>
        <c:majorGridlines/>
        <c:numFmt formatCode="General" sourceLinked="1"/>
        <c:majorTickMark val="out"/>
        <c:minorTickMark val="none"/>
        <c:tickLblPos val="nextTo"/>
        <c:txPr>
          <a:bodyPr/>
          <a:lstStyle/>
          <a:p>
            <a:pPr>
              <a:defRPr lang="en-US"/>
            </a:pPr>
            <a:endParaRPr lang="ru-RU"/>
          </a:p>
        </c:txPr>
        <c:crossAx val="166185216"/>
        <c:crosses val="autoZero"/>
        <c:crossBetween val="between"/>
      </c:valAx>
    </c:plotArea>
    <c:legend>
      <c:legendPos val="t"/>
      <c:layout>
        <c:manualLayout>
          <c:xMode val="edge"/>
          <c:yMode val="edge"/>
          <c:x val="0"/>
          <c:y val="2.7493928424139759E-2"/>
          <c:w val="0.96293843635554788"/>
          <c:h val="0.10386210315563203"/>
        </c:manualLayout>
      </c:layout>
      <c:overlay val="0"/>
      <c:txPr>
        <a:bodyPr/>
        <a:lstStyle/>
        <a:p>
          <a:pPr>
            <a:defRPr lang="en-US"/>
          </a:pPr>
          <a:endParaRPr lang="ru-RU"/>
        </a:p>
      </c:txPr>
    </c:legend>
    <c:plotVisOnly val="1"/>
    <c:dispBlanksAs val="gap"/>
    <c:showDLblsOverMax val="0"/>
  </c:chart>
  <c:txPr>
    <a:bodyPr/>
    <a:lstStyle/>
    <a:p>
      <a:pPr>
        <a:defRPr sz="900" b="1"/>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3F5AF-2C0D-4D99-93C4-314D6022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4348</Words>
  <Characters>24786</Characters>
  <Application>Microsoft Office Word</Application>
  <DocSecurity>0</DocSecurity>
  <Lines>206</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Regnum</dc:creator>
  <cp:lastModifiedBy>Regnum</cp:lastModifiedBy>
  <cp:revision>2</cp:revision>
  <dcterms:created xsi:type="dcterms:W3CDTF">2013-09-30T16:52:00Z</dcterms:created>
  <dcterms:modified xsi:type="dcterms:W3CDTF">2013-09-30T16:52:00Z</dcterms:modified>
</cp:coreProperties>
</file>