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354" w:rsidRDefault="008C1395" w:rsidP="00406354">
      <w:pPr>
        <w:pStyle w:val="CoverTitle"/>
      </w:pPr>
      <w:bookmarkStart w:id="0" w:name="title2"/>
      <w:r>
        <w:t>Spillover</w:t>
      </w:r>
      <w:r w:rsidR="008143D7" w:rsidRPr="008143D7">
        <w:t>s</w:t>
      </w:r>
      <w:r>
        <w:t xml:space="preserve"> from Global </w:t>
      </w:r>
      <w:r w:rsidR="00A33595">
        <w:t xml:space="preserve">and Regional </w:t>
      </w:r>
      <w:r w:rsidR="00182966">
        <w:t>Shocks</w:t>
      </w:r>
      <w:r>
        <w:t xml:space="preserve"> to Armenia</w:t>
      </w:r>
    </w:p>
    <w:p w:rsidR="0016148D" w:rsidRDefault="008C1395" w:rsidP="00406354">
      <w:pPr>
        <w:pStyle w:val="CoverAuthor"/>
      </w:pPr>
      <w:bookmarkStart w:id="1" w:name="authors2"/>
      <w:bookmarkEnd w:id="0"/>
      <w:r>
        <w:t>K</w:t>
      </w:r>
      <w:r w:rsidR="008F1B0B">
        <w:t>narik</w:t>
      </w:r>
      <w:r>
        <w:t xml:space="preserve"> </w:t>
      </w:r>
      <w:r w:rsidR="003A6A25" w:rsidRPr="003A6A25">
        <w:t>Ayvazyan</w:t>
      </w:r>
      <w:r w:rsidR="003A6A25">
        <w:t xml:space="preserve"> </w:t>
      </w:r>
      <w:r>
        <w:t>and Teresa Dab</w:t>
      </w:r>
      <w:r w:rsidR="005B4D32">
        <w:t>á</w:t>
      </w:r>
      <w:r>
        <w:t>n</w:t>
      </w:r>
    </w:p>
    <w:bookmarkEnd w:id="1"/>
    <w:p w:rsidR="0016148D" w:rsidRPr="000D3D7F" w:rsidRDefault="0063501D" w:rsidP="000D3D7F">
      <w:r>
        <w:rPr>
          <w:noProof/>
        </w:rPr>
        <w:drawing>
          <wp:anchor distT="0" distB="0" distL="114300" distR="114300" simplePos="0" relativeHeight="251657728" behindDoc="0" locked="0" layoutInCell="1" allowOverlap="1">
            <wp:simplePos x="0" y="0"/>
            <wp:positionH relativeFrom="column">
              <wp:posOffset>165735</wp:posOffset>
            </wp:positionH>
            <wp:positionV relativeFrom="paragraph">
              <wp:posOffset>4745990</wp:posOffset>
            </wp:positionV>
            <wp:extent cx="5713095" cy="545465"/>
            <wp:effectExtent l="19050" t="0" r="1905" b="0"/>
            <wp:wrapTopAndBottom/>
            <wp:docPr id="5" name="Picture 5" descr="IMF-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F-foot"/>
                    <pic:cNvPicPr>
                      <a:picLocks noChangeAspect="1" noChangeArrowheads="1"/>
                    </pic:cNvPicPr>
                  </pic:nvPicPr>
                  <pic:blipFill>
                    <a:blip r:embed="rId9" cstate="print"/>
                    <a:srcRect/>
                    <a:stretch>
                      <a:fillRect/>
                    </a:stretch>
                  </pic:blipFill>
                  <pic:spPr bwMode="auto">
                    <a:xfrm>
                      <a:off x="0" y="0"/>
                      <a:ext cx="5713095" cy="545465"/>
                    </a:xfrm>
                    <a:prstGeom prst="rect">
                      <a:avLst/>
                    </a:prstGeom>
                    <a:noFill/>
                  </pic:spPr>
                </pic:pic>
              </a:graphicData>
            </a:graphic>
          </wp:anchor>
        </w:drawing>
      </w:r>
    </w:p>
    <w:p w:rsidR="0016148D" w:rsidRPr="000D3D7F" w:rsidRDefault="0016148D" w:rsidP="000D3D7F">
      <w:pPr>
        <w:sectPr w:rsidR="0016148D" w:rsidRPr="000D3D7F" w:rsidSect="00DA2262">
          <w:headerReference w:type="first" r:id="rId10"/>
          <w:type w:val="continuous"/>
          <w:pgSz w:w="12240" w:h="15840" w:code="1"/>
          <w:pgMar w:top="5400" w:right="1440" w:bottom="1440" w:left="1440" w:header="720" w:footer="720" w:gutter="0"/>
          <w:cols w:space="720"/>
          <w:titlePg/>
        </w:sectPr>
      </w:pPr>
      <w:bookmarkStart w:id="2" w:name="_GoBack"/>
      <w:bookmarkEnd w:id="2"/>
    </w:p>
    <w:p w:rsidR="0016148D" w:rsidRDefault="0016148D" w:rsidP="003E0060">
      <w:pPr>
        <w:pStyle w:val="WPNumber"/>
      </w:pPr>
      <w:r>
        <w:lastRenderedPageBreak/>
        <w:t xml:space="preserve">© </w:t>
      </w:r>
      <w:bookmarkStart w:id="3" w:name="bkyear"/>
      <w:r w:rsidR="008C1395">
        <w:t>2014</w:t>
      </w:r>
      <w:r w:rsidR="00E115B6">
        <w:t xml:space="preserve"> </w:t>
      </w:r>
      <w:bookmarkEnd w:id="3"/>
      <w:r>
        <w:t>International Monetary Fund</w:t>
      </w:r>
      <w:r>
        <w:tab/>
      </w:r>
      <w:bookmarkStart w:id="4" w:name="docid"/>
      <w:bookmarkEnd w:id="4"/>
      <w:r w:rsidR="008C1395">
        <w:t>WP/</w:t>
      </w:r>
      <w:r>
        <w:t xml:space="preserve"> </w:t>
      </w:r>
      <w:bookmarkStart w:id="5" w:name="docidb"/>
      <w:bookmarkEnd w:id="5"/>
    </w:p>
    <w:p w:rsidR="0016148D" w:rsidRDefault="0016148D" w:rsidP="00332EAA">
      <w:pPr>
        <w:pStyle w:val="DocType"/>
      </w:pPr>
      <w:r>
        <w:t xml:space="preserve">IMF </w:t>
      </w:r>
      <w:bookmarkStart w:id="6" w:name="doctype"/>
      <w:bookmarkEnd w:id="6"/>
      <w:r w:rsidR="008C1395">
        <w:t>Working Paper</w:t>
      </w:r>
    </w:p>
    <w:p w:rsidR="0016148D" w:rsidRDefault="008C1395" w:rsidP="00332EAA">
      <w:pPr>
        <w:pStyle w:val="Department"/>
      </w:pPr>
      <w:bookmarkStart w:id="7" w:name="department"/>
      <w:bookmarkEnd w:id="7"/>
      <w:r>
        <w:t>MCD</w:t>
      </w:r>
      <w:r w:rsidR="0016148D">
        <w:t xml:space="preserve"> </w:t>
      </w:r>
      <w:bookmarkStart w:id="8" w:name="departmentb"/>
      <w:bookmarkEnd w:id="8"/>
    </w:p>
    <w:p w:rsidR="0016148D" w:rsidRDefault="008143D7" w:rsidP="00332EAA">
      <w:pPr>
        <w:pStyle w:val="DocTitle"/>
      </w:pPr>
      <w:bookmarkStart w:id="9" w:name="title"/>
      <w:bookmarkStart w:id="10" w:name="titleb"/>
      <w:bookmarkEnd w:id="9"/>
      <w:bookmarkEnd w:id="10"/>
      <w:r>
        <w:t>Spillover</w:t>
      </w:r>
      <w:r w:rsidRPr="008143D7">
        <w:t>s</w:t>
      </w:r>
      <w:r w:rsidR="00BE214E" w:rsidRPr="00BE214E">
        <w:t xml:space="preserve"> </w:t>
      </w:r>
      <w:r w:rsidRPr="008143D7">
        <w:t>f</w:t>
      </w:r>
      <w:r w:rsidR="00BE214E" w:rsidRPr="00BE214E">
        <w:t xml:space="preserve">rom Global </w:t>
      </w:r>
      <w:r w:rsidRPr="008143D7">
        <w:t>Economy into</w:t>
      </w:r>
      <w:r w:rsidR="00BE214E" w:rsidRPr="00BE214E">
        <w:t xml:space="preserve"> Armenia</w:t>
      </w:r>
      <w:r w:rsidR="008C1395">
        <w:rPr>
          <w:rStyle w:val="FootnoteReference"/>
          <w:rFonts w:ascii="Sylfaen" w:hAnsi="Sylfaen"/>
          <w:b w:val="0"/>
          <w:szCs w:val="24"/>
        </w:rPr>
        <w:footnoteReference w:id="2"/>
      </w:r>
    </w:p>
    <w:p w:rsidR="0016148D" w:rsidRPr="00576360" w:rsidRDefault="0016148D" w:rsidP="00332EAA">
      <w:pPr>
        <w:pStyle w:val="Author"/>
      </w:pPr>
      <w:r w:rsidRPr="00576360">
        <w:t xml:space="preserve">Prepared by </w:t>
      </w:r>
      <w:bookmarkStart w:id="11" w:name="authors"/>
      <w:bookmarkEnd w:id="11"/>
      <w:r w:rsidR="008F1B0B">
        <w:t>Knarik</w:t>
      </w:r>
      <w:r w:rsidR="008C1395">
        <w:t xml:space="preserve"> </w:t>
      </w:r>
      <w:r w:rsidR="008C1395" w:rsidRPr="008C1395">
        <w:t>Ayvazyan</w:t>
      </w:r>
      <w:r w:rsidR="008C1395">
        <w:t xml:space="preserve"> and Teresa Daban</w:t>
      </w:r>
      <w:r w:rsidRPr="00576360">
        <w:t xml:space="preserve"> </w:t>
      </w:r>
      <w:bookmarkStart w:id="12" w:name="authorsb"/>
      <w:bookmarkEnd w:id="12"/>
    </w:p>
    <w:p w:rsidR="0016148D" w:rsidRDefault="008C1395" w:rsidP="00332EAA">
      <w:pPr>
        <w:pStyle w:val="Authorizer"/>
      </w:pPr>
      <w:bookmarkStart w:id="13" w:name="authtext"/>
      <w:bookmarkEnd w:id="13"/>
      <w:r>
        <w:t>Authorized for distribution by</w:t>
      </w:r>
      <w:r w:rsidR="0016148D">
        <w:t xml:space="preserve"> </w:t>
      </w:r>
      <w:bookmarkStart w:id="14" w:name="authtextb"/>
      <w:bookmarkEnd w:id="14"/>
      <w:r w:rsidR="006B01B1">
        <w:t>Mark A. Horton</w:t>
      </w:r>
      <w:r w:rsidR="0016148D">
        <w:t xml:space="preserve"> </w:t>
      </w:r>
      <w:bookmarkStart w:id="15" w:name="authb"/>
      <w:bookmarkEnd w:id="15"/>
      <w:r w:rsidR="0016148D">
        <w:t xml:space="preserve"> </w:t>
      </w:r>
    </w:p>
    <w:p w:rsidR="00F86B29" w:rsidRDefault="00575739">
      <w:pPr>
        <w:pStyle w:val="Date1"/>
        <w:spacing w:after="360"/>
      </w:pPr>
      <w:bookmarkStart w:id="16" w:name="dateb"/>
      <w:bookmarkEnd w:id="16"/>
      <w:r>
        <w:t>May</w:t>
      </w:r>
      <w:r w:rsidR="00BE214E">
        <w:t xml:space="preserve"> 2015</w:t>
      </w:r>
    </w:p>
    <w:tbl>
      <w:tblPr>
        <w:tblpPr w:leftFromText="180" w:rightFromText="180" w:vertAnchor="text" w:horzAnchor="margin" w:tblpY="148"/>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0"/>
      </w:tblGrid>
      <w:tr w:rsidR="0063501D" w:rsidTr="0063501D">
        <w:tc>
          <w:tcPr>
            <w:tcW w:w="9630" w:type="dxa"/>
          </w:tcPr>
          <w:p w:rsidR="0063501D" w:rsidRPr="003E0060" w:rsidRDefault="0063501D" w:rsidP="0063501D">
            <w:pPr>
              <w:pStyle w:val="Disclaimer"/>
              <w:rPr>
                <w:b/>
                <w:bCs/>
              </w:rPr>
            </w:pPr>
            <w:r w:rsidRPr="003E0060">
              <w:rPr>
                <w:b/>
                <w:bCs/>
              </w:rPr>
              <w:t xml:space="preserve">This </w:t>
            </w:r>
            <w:r w:rsidR="008C1395">
              <w:rPr>
                <w:b/>
                <w:bCs/>
              </w:rPr>
              <w:t>Working Paper</w:t>
            </w:r>
            <w:r w:rsidRPr="003E0060">
              <w:rPr>
                <w:b/>
                <w:bCs/>
              </w:rPr>
              <w:t xml:space="preserve"> should not be reported as representing the views of the IMF.</w:t>
            </w:r>
          </w:p>
          <w:p w:rsidR="0063501D" w:rsidRDefault="0063501D" w:rsidP="008C1395">
            <w:pPr>
              <w:pStyle w:val="Disclaimer"/>
            </w:pPr>
            <w:r w:rsidRPr="003E0060">
              <w:t xml:space="preserve">The views expressed in this </w:t>
            </w:r>
            <w:bookmarkStart w:id="17" w:name="doctype1"/>
            <w:bookmarkStart w:id="18" w:name="doctype1b"/>
            <w:bookmarkEnd w:id="17"/>
            <w:bookmarkEnd w:id="18"/>
            <w:r w:rsidR="008C1395">
              <w:t>Working Paper</w:t>
            </w:r>
            <w:r w:rsidRPr="003E0060">
              <w:t xml:space="preserve"> </w:t>
            </w:r>
            <w:bookmarkStart w:id="19" w:name="doctype1c"/>
            <w:bookmarkEnd w:id="19"/>
            <w:r w:rsidRPr="003E0060">
              <w:t xml:space="preserve">are those of the author(s) and do not necessarily represent those of the IMF or IMF policy. </w:t>
            </w:r>
            <w:bookmarkStart w:id="20" w:name="doctype2"/>
            <w:bookmarkEnd w:id="20"/>
            <w:r w:rsidR="008C1395">
              <w:t>Working Papers</w:t>
            </w:r>
            <w:r w:rsidRPr="003E0060">
              <w:t xml:space="preserve"> </w:t>
            </w:r>
            <w:bookmarkStart w:id="21" w:name="doctype2b"/>
            <w:bookmarkEnd w:id="21"/>
            <w:r w:rsidRPr="003E0060">
              <w:t>describe research in progress by the author(s) and are published to elicit comments and to further debate.</w:t>
            </w:r>
          </w:p>
        </w:tc>
      </w:tr>
    </w:tbl>
    <w:p w:rsidR="0016148D" w:rsidRPr="00BD2013" w:rsidRDefault="0016148D" w:rsidP="00BD2013">
      <w:pPr>
        <w:pStyle w:val="AbstractTitle"/>
      </w:pPr>
      <w:r w:rsidRPr="00BD2013">
        <w:t>Abstract</w:t>
      </w:r>
    </w:p>
    <w:tbl>
      <w:tblPr>
        <w:tblW w:w="0" w:type="auto"/>
        <w:tblInd w:w="8" w:type="dxa"/>
        <w:tblLayout w:type="fixed"/>
        <w:tblCellMar>
          <w:left w:w="0" w:type="dxa"/>
          <w:right w:w="0" w:type="dxa"/>
        </w:tblCellMar>
        <w:tblLook w:val="0000" w:firstRow="0" w:lastRow="0" w:firstColumn="0" w:lastColumn="0" w:noHBand="0" w:noVBand="0"/>
      </w:tblPr>
      <w:tblGrid>
        <w:gridCol w:w="9000"/>
      </w:tblGrid>
      <w:tr w:rsidR="0016148D">
        <w:tc>
          <w:tcPr>
            <w:tcW w:w="9000" w:type="dxa"/>
          </w:tcPr>
          <w:p w:rsidR="0016148D" w:rsidRDefault="00BE214E" w:rsidP="00B44D53">
            <w:pPr>
              <w:tabs>
                <w:tab w:val="left" w:pos="0"/>
              </w:tabs>
              <w:autoSpaceDE w:val="0"/>
              <w:autoSpaceDN w:val="0"/>
              <w:adjustRightInd w:val="0"/>
            </w:pPr>
            <w:bookmarkStart w:id="22" w:name="abstracttext"/>
            <w:bookmarkEnd w:id="22"/>
            <w:r w:rsidRPr="00BE214E">
              <w:t xml:space="preserve">Using a </w:t>
            </w:r>
            <w:r w:rsidR="00575739">
              <w:t>structural vector</w:t>
            </w:r>
            <w:r w:rsidR="00B44D53">
              <w:t xml:space="preserve"> </w:t>
            </w:r>
            <w:r w:rsidR="00575739">
              <w:t>auto</w:t>
            </w:r>
            <w:r w:rsidR="00B44D53">
              <w:t>-</w:t>
            </w:r>
            <w:r w:rsidR="00575739">
              <w:t>regress</w:t>
            </w:r>
            <w:r w:rsidR="00B44D53">
              <w:t>ion</w:t>
            </w:r>
            <w:r w:rsidR="00575739">
              <w:t xml:space="preserve"> (</w:t>
            </w:r>
            <w:r w:rsidRPr="00BE214E">
              <w:t>SVAR</w:t>
            </w:r>
            <w:r w:rsidR="00575739">
              <w:t>)</w:t>
            </w:r>
            <w:r w:rsidRPr="00BE214E">
              <w:t xml:space="preserve"> </w:t>
            </w:r>
            <w:r w:rsidR="00126535" w:rsidRPr="00BE214E">
              <w:t>model,</w:t>
            </w:r>
            <w:r w:rsidRPr="00BE214E">
              <w:t xml:space="preserve"> this paper examines the size, geographical sources</w:t>
            </w:r>
            <w:r w:rsidR="006B01B1">
              <w:t>,</w:t>
            </w:r>
            <w:r w:rsidRPr="00BE214E">
              <w:t xml:space="preserve"> and transmission </w:t>
            </w:r>
            <w:r w:rsidR="00EE63DC" w:rsidRPr="00EE63DC">
              <w:t xml:space="preserve">channels </w:t>
            </w:r>
            <w:r w:rsidRPr="00BE214E">
              <w:t xml:space="preserve">of global </w:t>
            </w:r>
            <w:r w:rsidR="00E730E1">
              <w:t xml:space="preserve">and regional </w:t>
            </w:r>
            <w:r w:rsidRPr="00BE214E">
              <w:t xml:space="preserve">shocks to </w:t>
            </w:r>
            <w:r w:rsidR="006B01B1">
              <w:t xml:space="preserve">the </w:t>
            </w:r>
            <w:r w:rsidRPr="00BE214E">
              <w:t xml:space="preserve">Armenian economy. Results show that Armenian </w:t>
            </w:r>
            <w:r w:rsidR="006B01B1">
              <w:t xml:space="preserve">economic </w:t>
            </w:r>
            <w:r w:rsidRPr="00BE214E">
              <w:t xml:space="preserve">activity is strongly influenced by global demand shocks and </w:t>
            </w:r>
            <w:r w:rsidR="006B01B1">
              <w:t xml:space="preserve">changes </w:t>
            </w:r>
            <w:r w:rsidRPr="00BE214E">
              <w:t>in oil prices</w:t>
            </w:r>
            <w:r w:rsidR="00575739">
              <w:t xml:space="preserve">, yet </w:t>
            </w:r>
            <w:r w:rsidRPr="00BE214E">
              <w:t xml:space="preserve">relatively immune to financial volatility. </w:t>
            </w:r>
            <w:r w:rsidR="00E730E1">
              <w:t xml:space="preserve">Transmission takes place </w:t>
            </w:r>
            <w:r w:rsidRPr="00BE214E">
              <w:t xml:space="preserve">through </w:t>
            </w:r>
            <w:r w:rsidR="006B01B1">
              <w:t xml:space="preserve">the </w:t>
            </w:r>
            <w:r w:rsidRPr="00BE214E">
              <w:t>Russia</w:t>
            </w:r>
            <w:r w:rsidR="006B01B1">
              <w:t>n</w:t>
            </w:r>
            <w:r w:rsidRPr="00BE214E">
              <w:t xml:space="preserve"> and </w:t>
            </w:r>
            <w:r w:rsidR="006B01B1" w:rsidRPr="00BE214E">
              <w:t>EU</w:t>
            </w:r>
            <w:r w:rsidR="006B01B1">
              <w:t xml:space="preserve"> </w:t>
            </w:r>
            <w:r w:rsidRPr="00BE214E">
              <w:t>economies and remittances and external borrowing</w:t>
            </w:r>
            <w:r w:rsidR="006B01B1">
              <w:t xml:space="preserve">; </w:t>
            </w:r>
            <w:r w:rsidRPr="00BE214E">
              <w:t xml:space="preserve">the role of exports and tourism </w:t>
            </w:r>
            <w:r w:rsidR="006B01B1">
              <w:t xml:space="preserve">is </w:t>
            </w:r>
            <w:r w:rsidRPr="00BE214E">
              <w:t xml:space="preserve">low. Russia is </w:t>
            </w:r>
            <w:r w:rsidR="00B44D53">
              <w:t xml:space="preserve">key </w:t>
            </w:r>
            <w:r w:rsidRPr="00BE214E">
              <w:t xml:space="preserve">in transforming the </w:t>
            </w:r>
            <w:r w:rsidR="006B01B1">
              <w:t xml:space="preserve">potentially </w:t>
            </w:r>
            <w:r w:rsidRPr="00BE214E">
              <w:t>negative impact of an increase in oil prices into a positive event, through stronger</w:t>
            </w:r>
            <w:r w:rsidR="00E730E1">
              <w:t xml:space="preserve"> </w:t>
            </w:r>
            <w:r w:rsidRPr="00BE214E">
              <w:t xml:space="preserve">remittances and exports. </w:t>
            </w:r>
            <w:r>
              <w:t>S</w:t>
            </w:r>
            <w:r w:rsidRPr="00BE214E">
              <w:t xml:space="preserve">ervices and construction, which depend </w:t>
            </w:r>
            <w:r w:rsidR="00575739">
              <w:t xml:space="preserve">significantly </w:t>
            </w:r>
            <w:r w:rsidRPr="00BE214E">
              <w:t>on remittances and external borrowing, are the most affected by global and regional shocks.</w:t>
            </w:r>
          </w:p>
        </w:tc>
        <w:bookmarkStart w:id="23" w:name="abstracttext2"/>
        <w:bookmarkEnd w:id="23"/>
      </w:tr>
    </w:tbl>
    <w:p w:rsidR="00721042" w:rsidRDefault="00721042" w:rsidP="00721042">
      <w:pPr>
        <w:pStyle w:val="JEL"/>
      </w:pPr>
      <w:r w:rsidRPr="00721042">
        <w:t>JEL Classification Numbers</w:t>
      </w:r>
      <w:r>
        <w:t>:</w:t>
      </w:r>
      <w:r w:rsidR="00E47A4C">
        <w:t>E6, F240, F47, F41, F430</w:t>
      </w:r>
      <w:r>
        <w:t xml:space="preserve"> </w:t>
      </w:r>
      <w:bookmarkStart w:id="24" w:name="bkjel"/>
      <w:bookmarkEnd w:id="24"/>
    </w:p>
    <w:p w:rsidR="00E730E1" w:rsidRDefault="00721042" w:rsidP="00E730E1">
      <w:pPr>
        <w:tabs>
          <w:tab w:val="left" w:pos="0"/>
        </w:tabs>
        <w:autoSpaceDE w:val="0"/>
        <w:autoSpaceDN w:val="0"/>
        <w:adjustRightInd w:val="0"/>
        <w:rPr>
          <w:szCs w:val="24"/>
        </w:rPr>
      </w:pPr>
      <w:r>
        <w:t xml:space="preserve">Keywords: </w:t>
      </w:r>
      <w:bookmarkStart w:id="25" w:name="bkkey"/>
      <w:bookmarkEnd w:id="25"/>
      <w:r w:rsidR="00BE214E" w:rsidRPr="00922244">
        <w:rPr>
          <w:szCs w:val="24"/>
        </w:rPr>
        <w:t xml:space="preserve">Spillovers; Trade; Business cycles; Transmission channels, </w:t>
      </w:r>
      <w:r w:rsidR="00B50096">
        <w:rPr>
          <w:szCs w:val="24"/>
        </w:rPr>
        <w:t xml:space="preserve">Remittances, </w:t>
      </w:r>
      <w:r w:rsidR="00BE214E">
        <w:rPr>
          <w:szCs w:val="24"/>
        </w:rPr>
        <w:t>S</w:t>
      </w:r>
      <w:r w:rsidR="00BE214E" w:rsidRPr="00922244">
        <w:rPr>
          <w:szCs w:val="24"/>
        </w:rPr>
        <w:t>V</w:t>
      </w:r>
      <w:r w:rsidR="00BE214E">
        <w:rPr>
          <w:szCs w:val="24"/>
        </w:rPr>
        <w:t>AR</w:t>
      </w:r>
    </w:p>
    <w:p w:rsidR="00E730E1" w:rsidRDefault="00E730E1" w:rsidP="00E730E1">
      <w:pPr>
        <w:tabs>
          <w:tab w:val="left" w:pos="0"/>
        </w:tabs>
        <w:autoSpaceDE w:val="0"/>
        <w:autoSpaceDN w:val="0"/>
        <w:adjustRightInd w:val="0"/>
        <w:rPr>
          <w:szCs w:val="24"/>
        </w:rPr>
      </w:pPr>
    </w:p>
    <w:p w:rsidR="00D633A4" w:rsidRDefault="00721042" w:rsidP="00E730E1">
      <w:pPr>
        <w:tabs>
          <w:tab w:val="left" w:pos="0"/>
        </w:tabs>
        <w:autoSpaceDE w:val="0"/>
        <w:autoSpaceDN w:val="0"/>
        <w:adjustRightInd w:val="0"/>
        <w:sectPr w:rsidR="00D633A4" w:rsidSect="00C5281C">
          <w:headerReference w:type="default" r:id="rId11"/>
          <w:headerReference w:type="first" r:id="rId12"/>
          <w:pgSz w:w="12240" w:h="15840" w:code="1"/>
          <w:pgMar w:top="1440" w:right="1166" w:bottom="1440" w:left="1800" w:header="720" w:footer="720" w:gutter="0"/>
          <w:cols w:space="720"/>
          <w:titlePg/>
        </w:sectPr>
      </w:pPr>
      <w:r>
        <w:t xml:space="preserve">Author’s E-Mail Address: </w:t>
      </w:r>
      <w:bookmarkStart w:id="26" w:name="bkemail"/>
      <w:bookmarkEnd w:id="26"/>
      <w:r w:rsidR="00037BD7">
        <w:fldChar w:fldCharType="begin"/>
      </w:r>
      <w:r w:rsidR="00BE214E">
        <w:instrText xml:space="preserve"> HYPERLINK "mailto:tdaban@imf.org" </w:instrText>
      </w:r>
      <w:r w:rsidR="00037BD7">
        <w:fldChar w:fldCharType="separate"/>
      </w:r>
      <w:r w:rsidR="00BE214E" w:rsidRPr="00171B2E">
        <w:rPr>
          <w:rStyle w:val="Hyperlink"/>
        </w:rPr>
        <w:t>tdaban@imf.org</w:t>
      </w:r>
      <w:r w:rsidR="00037BD7">
        <w:fldChar w:fldCharType="end"/>
      </w:r>
      <w:r w:rsidR="00BE214E">
        <w:t xml:space="preserve">; </w:t>
      </w:r>
      <w:hyperlink r:id="rId13" w:history="1">
        <w:r w:rsidR="00BE214E" w:rsidRPr="00922244">
          <w:rPr>
            <w:rStyle w:val="Hyperlink"/>
            <w:szCs w:val="24"/>
          </w:rPr>
          <w:t>knarik.ayvazyan@cba.am</w:t>
        </w:r>
      </w:hyperlink>
    </w:p>
    <w:p w:rsidR="00D20873" w:rsidRDefault="00D20873" w:rsidP="00D20873">
      <w:pPr>
        <w:pStyle w:val="Keywords"/>
        <w:spacing w:line="240" w:lineRule="auto"/>
        <w:jc w:val="center"/>
      </w:pPr>
      <w:r>
        <w:lastRenderedPageBreak/>
        <w:t>Index</w:t>
      </w:r>
    </w:p>
    <w:p w:rsidR="008F1B0B" w:rsidRPr="008F1B0B" w:rsidRDefault="00D633A4" w:rsidP="008F1B0B">
      <w:pPr>
        <w:pStyle w:val="TOC1"/>
        <w:rPr>
          <w:sz w:val="22"/>
          <w:szCs w:val="22"/>
          <w:lang w:eastAsia="en-US"/>
        </w:rPr>
      </w:pPr>
      <w:r w:rsidRPr="008F1B0B">
        <w:t>I.Introduction</w:t>
      </w:r>
      <w:hyperlink w:anchor="_Toc195587440" w:history="1">
        <w:r w:rsidR="008F1B0B" w:rsidRPr="008F1B0B">
          <w:rPr>
            <w:webHidden/>
          </w:rPr>
          <w:tab/>
          <w:t>5</w:t>
        </w:r>
      </w:hyperlink>
    </w:p>
    <w:p w:rsidR="008F1B0B" w:rsidRPr="008F1B0B" w:rsidRDefault="00D633A4" w:rsidP="008F1B0B">
      <w:pPr>
        <w:pStyle w:val="TOC1"/>
        <w:rPr>
          <w:sz w:val="22"/>
          <w:szCs w:val="22"/>
          <w:lang w:eastAsia="en-US"/>
        </w:rPr>
      </w:pPr>
      <w:r>
        <w:t xml:space="preserve">II. Background: Global and Regional Shocks and Transmission </w:t>
      </w:r>
      <w:r w:rsidR="00EE63DC" w:rsidRPr="00EE63DC">
        <w:t xml:space="preserve">Channels </w:t>
      </w:r>
      <w:r>
        <w:t>to Armenian</w:t>
      </w:r>
      <w:r w:rsidR="00881B54" w:rsidRPr="00881B54">
        <w:t xml:space="preserve"> </w:t>
      </w:r>
      <w:r>
        <w:t>Economy</w:t>
      </w:r>
      <w:hyperlink w:anchor="_Toc195587440" w:history="1">
        <w:r w:rsidR="008F1B0B" w:rsidRPr="008F1B0B">
          <w:rPr>
            <w:webHidden/>
          </w:rPr>
          <w:tab/>
        </w:r>
        <w:r w:rsidR="008F1B0B">
          <w:rPr>
            <w:webHidden/>
          </w:rPr>
          <w:t>6</w:t>
        </w:r>
      </w:hyperlink>
    </w:p>
    <w:p w:rsidR="008F1B0B" w:rsidRPr="008F1B0B" w:rsidRDefault="003367D0" w:rsidP="008F1B0B">
      <w:pPr>
        <w:pStyle w:val="TOC1"/>
        <w:rPr>
          <w:sz w:val="22"/>
          <w:szCs w:val="22"/>
          <w:lang w:eastAsia="en-US"/>
        </w:rPr>
      </w:pPr>
      <w:r>
        <w:t>A.Global and Regional S</w:t>
      </w:r>
      <w:r w:rsidR="00D633A4">
        <w:t>hocks</w:t>
      </w:r>
      <w:hyperlink w:anchor="_Toc195587440" w:history="1">
        <w:r w:rsidR="008F1B0B" w:rsidRPr="008F1B0B">
          <w:rPr>
            <w:webHidden/>
          </w:rPr>
          <w:tab/>
        </w:r>
        <w:r w:rsidR="008F1B0B">
          <w:rPr>
            <w:webHidden/>
          </w:rPr>
          <w:t>6</w:t>
        </w:r>
      </w:hyperlink>
    </w:p>
    <w:p w:rsidR="008F1B0B" w:rsidRPr="008F1B0B" w:rsidRDefault="00D633A4" w:rsidP="008F1B0B">
      <w:pPr>
        <w:pStyle w:val="TOC1"/>
        <w:rPr>
          <w:sz w:val="22"/>
          <w:szCs w:val="22"/>
          <w:lang w:eastAsia="en-US"/>
        </w:rPr>
      </w:pPr>
      <w:r>
        <w:t>B.The Main Transmission Channels: Links with Trading Partners</w:t>
      </w:r>
      <w:hyperlink w:anchor="_Toc195587440" w:history="1">
        <w:r w:rsidR="008F1B0B" w:rsidRPr="008F1B0B">
          <w:rPr>
            <w:webHidden/>
          </w:rPr>
          <w:tab/>
        </w:r>
        <w:r w:rsidR="008F1B0B">
          <w:rPr>
            <w:webHidden/>
          </w:rPr>
          <w:t>8</w:t>
        </w:r>
      </w:hyperlink>
    </w:p>
    <w:p w:rsidR="008F1B0B" w:rsidRPr="008F1B0B" w:rsidRDefault="002D2594" w:rsidP="008F1B0B">
      <w:pPr>
        <w:pStyle w:val="TOC1"/>
        <w:rPr>
          <w:sz w:val="22"/>
          <w:szCs w:val="22"/>
          <w:lang w:eastAsia="en-US"/>
        </w:rPr>
      </w:pPr>
      <w:r>
        <w:t>III.Estimation</w:t>
      </w:r>
      <w:r w:rsidR="00881B54">
        <w:rPr>
          <w:lang w:val="ru-RU"/>
        </w:rPr>
        <w:t xml:space="preserve"> and Identification</w:t>
      </w:r>
      <w:r w:rsidR="00D633A4">
        <w:t>Techniqu</w:t>
      </w:r>
      <w:r>
        <w:t>es</w:t>
      </w:r>
      <w:hyperlink w:anchor="_Toc195587440" w:history="1">
        <w:r w:rsidR="008F1B0B" w:rsidRPr="008F1B0B">
          <w:rPr>
            <w:webHidden/>
          </w:rPr>
          <w:tab/>
        </w:r>
        <w:r w:rsidR="008F1B0B">
          <w:rPr>
            <w:webHidden/>
          </w:rPr>
          <w:t>14</w:t>
        </w:r>
      </w:hyperlink>
    </w:p>
    <w:p w:rsidR="008F1B0B" w:rsidRPr="008F1B0B" w:rsidRDefault="00D633A4" w:rsidP="008F1B0B">
      <w:pPr>
        <w:pStyle w:val="TOC1"/>
        <w:rPr>
          <w:sz w:val="22"/>
          <w:szCs w:val="22"/>
          <w:lang w:eastAsia="en-US"/>
        </w:rPr>
      </w:pPr>
      <w:r>
        <w:t xml:space="preserve">A. The </w:t>
      </w:r>
      <w:r w:rsidR="000B4F9F">
        <w:t>baseline Sructural Vector Auto-Regressio</w:t>
      </w:r>
      <w:r>
        <w:t>n Model</w:t>
      </w:r>
      <w:hyperlink w:anchor="_Toc195587440" w:history="1">
        <w:r w:rsidR="008F1B0B" w:rsidRPr="008F1B0B">
          <w:rPr>
            <w:webHidden/>
          </w:rPr>
          <w:tab/>
        </w:r>
        <w:r w:rsidR="008F1B0B">
          <w:rPr>
            <w:webHidden/>
          </w:rPr>
          <w:t>14</w:t>
        </w:r>
      </w:hyperlink>
    </w:p>
    <w:p w:rsidR="008F1B0B" w:rsidRPr="008F1B0B" w:rsidRDefault="00D633A4" w:rsidP="008F1B0B">
      <w:pPr>
        <w:pStyle w:val="TOC1"/>
        <w:rPr>
          <w:sz w:val="22"/>
          <w:szCs w:val="22"/>
          <w:lang w:eastAsia="en-US"/>
        </w:rPr>
      </w:pPr>
      <w:r>
        <w:t>B. Decomposition of Spillovers By Geog</w:t>
      </w:r>
      <w:r w:rsidR="002D2594">
        <w:t>raphical Areas and Transmission Channels</w:t>
      </w:r>
      <w:hyperlink w:anchor="_Toc195587440" w:history="1">
        <w:r w:rsidR="008F1B0B" w:rsidRPr="008F1B0B">
          <w:rPr>
            <w:webHidden/>
          </w:rPr>
          <w:tab/>
        </w:r>
        <w:r w:rsidR="008F1B0B">
          <w:rPr>
            <w:webHidden/>
          </w:rPr>
          <w:t>15</w:t>
        </w:r>
      </w:hyperlink>
    </w:p>
    <w:p w:rsidR="008F1B0B" w:rsidRPr="008F1B0B" w:rsidRDefault="00D633A4" w:rsidP="008F1B0B">
      <w:pPr>
        <w:pStyle w:val="TOC1"/>
        <w:rPr>
          <w:sz w:val="22"/>
          <w:szCs w:val="22"/>
          <w:lang w:eastAsia="en-US"/>
        </w:rPr>
      </w:pPr>
      <w:r>
        <w:t>C.</w:t>
      </w:r>
      <w:r w:rsidR="002D2594">
        <w:t xml:space="preserve"> </w:t>
      </w:r>
      <w:r>
        <w:t>Sectoral Analysis</w:t>
      </w:r>
      <w:hyperlink w:anchor="_Toc195587440" w:history="1">
        <w:r w:rsidR="008F1B0B" w:rsidRPr="008F1B0B">
          <w:rPr>
            <w:webHidden/>
          </w:rPr>
          <w:tab/>
        </w:r>
        <w:r w:rsidR="008F1B0B">
          <w:rPr>
            <w:webHidden/>
          </w:rPr>
          <w:t>17</w:t>
        </w:r>
      </w:hyperlink>
    </w:p>
    <w:p w:rsidR="008F1B0B" w:rsidRPr="008F1B0B" w:rsidRDefault="002D2594" w:rsidP="008F1B0B">
      <w:pPr>
        <w:pStyle w:val="TOC1"/>
        <w:rPr>
          <w:sz w:val="22"/>
          <w:szCs w:val="22"/>
          <w:lang w:eastAsia="en-US"/>
        </w:rPr>
      </w:pPr>
      <w:r>
        <w:t>D</w:t>
      </w:r>
      <w:r w:rsidR="00D633A4">
        <w:t>.</w:t>
      </w:r>
      <w:r>
        <w:t xml:space="preserve"> </w:t>
      </w:r>
      <w:r w:rsidR="00D633A4">
        <w:t>Data</w:t>
      </w:r>
      <w:hyperlink w:anchor="_Toc195587440" w:history="1">
        <w:r w:rsidR="008F1B0B" w:rsidRPr="008F1B0B">
          <w:rPr>
            <w:webHidden/>
          </w:rPr>
          <w:tab/>
        </w:r>
        <w:r w:rsidR="008F1B0B">
          <w:rPr>
            <w:webHidden/>
          </w:rPr>
          <w:t>17</w:t>
        </w:r>
      </w:hyperlink>
    </w:p>
    <w:p w:rsidR="008F1B0B" w:rsidRPr="008F1B0B" w:rsidRDefault="00D633A4" w:rsidP="008F1B0B">
      <w:pPr>
        <w:pStyle w:val="TOC1"/>
        <w:rPr>
          <w:sz w:val="22"/>
          <w:szCs w:val="22"/>
          <w:lang w:eastAsia="en-US"/>
        </w:rPr>
      </w:pPr>
      <w:r>
        <w:t>IV. Econometric Results</w:t>
      </w:r>
      <w:hyperlink w:anchor="_Toc195587440" w:history="1">
        <w:r w:rsidR="008F1B0B" w:rsidRPr="008F1B0B">
          <w:rPr>
            <w:webHidden/>
          </w:rPr>
          <w:tab/>
        </w:r>
        <w:r w:rsidR="008F1B0B">
          <w:rPr>
            <w:webHidden/>
          </w:rPr>
          <w:t>18</w:t>
        </w:r>
      </w:hyperlink>
    </w:p>
    <w:p w:rsidR="008F1B0B" w:rsidRPr="008F1B0B" w:rsidRDefault="00D633A4" w:rsidP="008F1B0B">
      <w:pPr>
        <w:pStyle w:val="TOC1"/>
        <w:rPr>
          <w:sz w:val="22"/>
          <w:szCs w:val="22"/>
          <w:lang w:eastAsia="en-US"/>
        </w:rPr>
      </w:pPr>
      <w:r>
        <w:t>V. Conclusion</w:t>
      </w:r>
      <w:hyperlink w:anchor="_Toc195587440" w:history="1">
        <w:r w:rsidR="008F1B0B" w:rsidRPr="008F1B0B">
          <w:rPr>
            <w:webHidden/>
          </w:rPr>
          <w:tab/>
        </w:r>
        <w:r w:rsidR="008F1B0B">
          <w:rPr>
            <w:webHidden/>
          </w:rPr>
          <w:t>23</w:t>
        </w:r>
      </w:hyperlink>
    </w:p>
    <w:p w:rsidR="008F1B0B" w:rsidRPr="008F1B0B" w:rsidRDefault="00D633A4" w:rsidP="008F1B0B">
      <w:pPr>
        <w:pStyle w:val="TOC1"/>
        <w:rPr>
          <w:sz w:val="22"/>
          <w:szCs w:val="22"/>
          <w:lang w:eastAsia="en-US"/>
        </w:rPr>
      </w:pPr>
      <w:r>
        <w:t>Annex I: Brief Review of Literature on Spillovers</w:t>
      </w:r>
      <w:hyperlink w:anchor="_Toc195587440" w:history="1">
        <w:r w:rsidR="008F1B0B" w:rsidRPr="008F1B0B">
          <w:rPr>
            <w:webHidden/>
          </w:rPr>
          <w:tab/>
        </w:r>
        <w:r w:rsidR="008F1B0B">
          <w:rPr>
            <w:webHidden/>
          </w:rPr>
          <w:t>24</w:t>
        </w:r>
      </w:hyperlink>
    </w:p>
    <w:p w:rsidR="008F1B0B" w:rsidRPr="008F1B0B" w:rsidRDefault="00D633A4" w:rsidP="008F1B0B">
      <w:pPr>
        <w:pStyle w:val="TOC1"/>
        <w:rPr>
          <w:sz w:val="22"/>
          <w:szCs w:val="22"/>
          <w:lang w:eastAsia="en-US"/>
        </w:rPr>
      </w:pPr>
      <w:r>
        <w:t>References</w:t>
      </w:r>
      <w:hyperlink w:anchor="_Toc195587440" w:history="1">
        <w:r w:rsidR="008F1B0B" w:rsidRPr="008F1B0B">
          <w:rPr>
            <w:webHidden/>
          </w:rPr>
          <w:tab/>
        </w:r>
        <w:r w:rsidR="008F1B0B">
          <w:rPr>
            <w:webHidden/>
          </w:rPr>
          <w:t>26</w:t>
        </w:r>
      </w:hyperlink>
    </w:p>
    <w:p w:rsidR="008F1B0B" w:rsidRPr="008F1B0B" w:rsidRDefault="00D633A4" w:rsidP="008F1B0B">
      <w:pPr>
        <w:pStyle w:val="TOC1"/>
        <w:rPr>
          <w:sz w:val="22"/>
          <w:szCs w:val="22"/>
          <w:lang w:eastAsia="en-US"/>
        </w:rPr>
      </w:pPr>
      <w:r>
        <w:t xml:space="preserve">Figure 1: </w:t>
      </w:r>
      <w:r w:rsidR="000B4F9F" w:rsidRPr="000B4F9F">
        <w:t>Real GDP growth (yoy) in Armenia, Key Trading Partners, and the World GDP</w:t>
      </w:r>
      <w:hyperlink w:anchor="_Toc195587440" w:history="1">
        <w:r w:rsidR="008F1B0B" w:rsidRPr="008F1B0B">
          <w:rPr>
            <w:webHidden/>
          </w:rPr>
          <w:tab/>
        </w:r>
        <w:r w:rsidR="008F1B0B">
          <w:rPr>
            <w:webHidden/>
          </w:rPr>
          <w:t>7</w:t>
        </w:r>
      </w:hyperlink>
    </w:p>
    <w:p w:rsidR="00D633A4" w:rsidRPr="008F1B0B" w:rsidRDefault="00D633A4" w:rsidP="008F1B0B">
      <w:pPr>
        <w:pStyle w:val="TOC1"/>
        <w:rPr>
          <w:sz w:val="22"/>
          <w:szCs w:val="22"/>
          <w:lang w:eastAsia="en-US"/>
        </w:rPr>
      </w:pPr>
      <w:r>
        <w:t>Figure 2: Commodity prices (2005=100</w:t>
      </w:r>
      <w:r w:rsidR="000B4F9F">
        <w:t>)</w:t>
      </w:r>
      <w:r w:rsidR="008F1B0B" w:rsidRPr="008F1B0B">
        <w:t xml:space="preserve"> </w:t>
      </w:r>
      <w:hyperlink w:anchor="_Toc195587440" w:history="1">
        <w:r w:rsidR="008F1B0B" w:rsidRPr="008F1B0B">
          <w:rPr>
            <w:webHidden/>
          </w:rPr>
          <w:tab/>
        </w:r>
        <w:r w:rsidR="008F1B0B">
          <w:rPr>
            <w:webHidden/>
          </w:rPr>
          <w:t>7</w:t>
        </w:r>
      </w:hyperlink>
    </w:p>
    <w:p w:rsidR="008F1B0B" w:rsidRPr="008F1B0B" w:rsidRDefault="00D633A4" w:rsidP="008F1B0B">
      <w:pPr>
        <w:pStyle w:val="TOC1"/>
        <w:rPr>
          <w:sz w:val="22"/>
          <w:szCs w:val="22"/>
          <w:lang w:eastAsia="en-US"/>
        </w:rPr>
      </w:pPr>
      <w:r>
        <w:t xml:space="preserve">Figure 3: </w:t>
      </w:r>
      <w:r w:rsidR="000B4F9F">
        <w:t>Oil Price and Ruble/US$ Exchange Rate</w:t>
      </w:r>
      <w:hyperlink w:anchor="_Toc195587440" w:history="1">
        <w:r w:rsidR="008F1B0B" w:rsidRPr="008F1B0B">
          <w:rPr>
            <w:webHidden/>
          </w:rPr>
          <w:tab/>
        </w:r>
        <w:r w:rsidR="008F1B0B">
          <w:rPr>
            <w:webHidden/>
          </w:rPr>
          <w:t>7</w:t>
        </w:r>
      </w:hyperlink>
    </w:p>
    <w:p w:rsidR="008F1B0B" w:rsidRPr="008F1B0B" w:rsidRDefault="00D633A4" w:rsidP="008F1B0B">
      <w:pPr>
        <w:pStyle w:val="TOC1"/>
        <w:rPr>
          <w:sz w:val="22"/>
          <w:szCs w:val="22"/>
          <w:lang w:eastAsia="en-US"/>
        </w:rPr>
      </w:pPr>
      <w:r>
        <w:t xml:space="preserve">Figure 4: </w:t>
      </w:r>
      <w:r w:rsidR="000B4F9F" w:rsidRPr="000B4F9F">
        <w:t>Armenia’s Remittances and Exchange Rate</w:t>
      </w:r>
      <w:hyperlink w:anchor="_Toc195587440" w:history="1">
        <w:r w:rsidR="008F1B0B" w:rsidRPr="008F1B0B">
          <w:rPr>
            <w:webHidden/>
          </w:rPr>
          <w:tab/>
        </w:r>
        <w:r w:rsidR="008F1B0B">
          <w:rPr>
            <w:webHidden/>
          </w:rPr>
          <w:t>8</w:t>
        </w:r>
      </w:hyperlink>
    </w:p>
    <w:p w:rsidR="008F1B0B" w:rsidRPr="008F1B0B" w:rsidRDefault="00D633A4" w:rsidP="008F1B0B">
      <w:pPr>
        <w:pStyle w:val="TOC1"/>
        <w:rPr>
          <w:sz w:val="22"/>
          <w:szCs w:val="22"/>
          <w:lang w:eastAsia="en-US"/>
        </w:rPr>
      </w:pPr>
      <w:r>
        <w:t xml:space="preserve">Figure 5: </w:t>
      </w:r>
      <w:r w:rsidR="00C82FBB" w:rsidRPr="00C82FBB">
        <w:t>Armenia: Geographical Structure of External trade 2010-2013</w:t>
      </w:r>
      <w:hyperlink w:anchor="_Toc195587440" w:history="1">
        <w:r w:rsidR="008F1B0B" w:rsidRPr="008F1B0B">
          <w:rPr>
            <w:webHidden/>
          </w:rPr>
          <w:tab/>
        </w:r>
        <w:r w:rsidR="008F1B0B">
          <w:rPr>
            <w:webHidden/>
          </w:rPr>
          <w:t>9</w:t>
        </w:r>
      </w:hyperlink>
    </w:p>
    <w:p w:rsidR="008F1B0B" w:rsidRPr="008F1B0B" w:rsidRDefault="00C82FBB" w:rsidP="008F1B0B">
      <w:pPr>
        <w:pStyle w:val="TOC1"/>
        <w:rPr>
          <w:sz w:val="22"/>
          <w:szCs w:val="22"/>
          <w:lang w:eastAsia="en-US"/>
        </w:rPr>
      </w:pPr>
      <w:r>
        <w:t>Figure 6:Armenia:</w:t>
      </w:r>
      <w:r>
        <w:rPr>
          <w:b/>
        </w:rPr>
        <w:t xml:space="preserve"> </w:t>
      </w:r>
      <w:r w:rsidRPr="00C82FBB">
        <w:t>Structure of External Trade by Type of Products 2010-2013</w:t>
      </w:r>
      <w:hyperlink w:anchor="_Toc195587440" w:history="1">
        <w:r w:rsidR="008F1B0B" w:rsidRPr="008F1B0B">
          <w:rPr>
            <w:webHidden/>
          </w:rPr>
          <w:tab/>
        </w:r>
        <w:r w:rsidR="008F1B0B">
          <w:rPr>
            <w:webHidden/>
          </w:rPr>
          <w:t>9</w:t>
        </w:r>
      </w:hyperlink>
    </w:p>
    <w:p w:rsidR="00D633A4" w:rsidRPr="008F1B0B" w:rsidRDefault="00D633A4" w:rsidP="008F1B0B">
      <w:pPr>
        <w:pStyle w:val="TOC1"/>
        <w:rPr>
          <w:sz w:val="22"/>
          <w:szCs w:val="22"/>
          <w:lang w:eastAsia="en-US"/>
        </w:rPr>
      </w:pPr>
      <w:r>
        <w:t xml:space="preserve">Figure 7: </w:t>
      </w:r>
      <w:r w:rsidR="00EF4239" w:rsidRPr="00EF4239">
        <w:t>Figure 7: Armenia: Remittance Net Inflows (In million of Armenian drams)</w:t>
      </w:r>
      <w:hyperlink w:anchor="_Toc195587440" w:history="1">
        <w:r w:rsidR="008F1B0B" w:rsidRPr="008F1B0B">
          <w:rPr>
            <w:webHidden/>
          </w:rPr>
          <w:tab/>
        </w:r>
        <w:r w:rsidR="008F1B0B">
          <w:rPr>
            <w:webHidden/>
          </w:rPr>
          <w:t>10</w:t>
        </w:r>
      </w:hyperlink>
    </w:p>
    <w:p w:rsidR="008F1B0B" w:rsidRPr="008F1B0B" w:rsidRDefault="00D633A4" w:rsidP="008F1B0B">
      <w:pPr>
        <w:pStyle w:val="TOC1"/>
        <w:rPr>
          <w:sz w:val="22"/>
          <w:szCs w:val="22"/>
          <w:lang w:eastAsia="en-US"/>
        </w:rPr>
      </w:pPr>
      <w:r>
        <w:t xml:space="preserve">Figure 8: </w:t>
      </w:r>
      <w:r w:rsidR="00D339CE" w:rsidRPr="00D339CE">
        <w:t xml:space="preserve">Growth Rates (yoy) of Russian Nominal GDP and Armenian Remittances (In </w:t>
      </w:r>
      <w:r w:rsidR="00D339CE">
        <w:t xml:space="preserve"> </w:t>
      </w:r>
      <w:r w:rsidR="00D339CE" w:rsidRPr="00D339CE">
        <w:t xml:space="preserve">percent) </w:t>
      </w:r>
      <w:hyperlink w:anchor="_Toc195587440" w:history="1">
        <w:r w:rsidR="008F1B0B" w:rsidRPr="008F1B0B">
          <w:rPr>
            <w:webHidden/>
          </w:rPr>
          <w:tab/>
        </w:r>
        <w:r w:rsidR="008F1B0B">
          <w:rPr>
            <w:webHidden/>
          </w:rPr>
          <w:t>11</w:t>
        </w:r>
      </w:hyperlink>
    </w:p>
    <w:p w:rsidR="00D633A4" w:rsidRPr="008F1B0B" w:rsidRDefault="00D633A4" w:rsidP="008F1B0B">
      <w:pPr>
        <w:pStyle w:val="TOC1"/>
        <w:rPr>
          <w:sz w:val="22"/>
          <w:szCs w:val="22"/>
          <w:lang w:eastAsia="en-US"/>
        </w:rPr>
      </w:pPr>
      <w:r>
        <w:t xml:space="preserve">Figure 9: </w:t>
      </w:r>
      <w:r w:rsidR="00D339CE" w:rsidRPr="00D339CE">
        <w:t xml:space="preserve">Growth Rates (yoy) of </w:t>
      </w:r>
      <w:r w:rsidR="00D339CE">
        <w:t>Armenian Nominal</w:t>
      </w:r>
      <w:r w:rsidR="00D339CE" w:rsidRPr="00D339CE">
        <w:t xml:space="preserve"> GDP and Armenian Remittances (In percent</w:t>
      </w:r>
      <w:r w:rsidR="00D339CE">
        <w:t>)</w:t>
      </w:r>
      <w:r w:rsidR="008F1B0B" w:rsidRPr="008F1B0B">
        <w:t xml:space="preserve"> </w:t>
      </w:r>
      <w:hyperlink w:anchor="_Toc195587440" w:history="1">
        <w:r w:rsidR="008F1B0B" w:rsidRPr="008F1B0B">
          <w:rPr>
            <w:webHidden/>
          </w:rPr>
          <w:tab/>
        </w:r>
        <w:r w:rsidR="008F1B0B">
          <w:rPr>
            <w:webHidden/>
          </w:rPr>
          <w:t>11</w:t>
        </w:r>
      </w:hyperlink>
    </w:p>
    <w:p w:rsidR="008F1B0B" w:rsidRPr="008F1B0B" w:rsidRDefault="00D633A4" w:rsidP="008F1B0B">
      <w:pPr>
        <w:pStyle w:val="TOC1"/>
        <w:rPr>
          <w:sz w:val="22"/>
          <w:szCs w:val="22"/>
          <w:lang w:eastAsia="en-US"/>
        </w:rPr>
      </w:pPr>
      <w:r>
        <w:t xml:space="preserve">Figure 10: </w:t>
      </w:r>
      <w:r w:rsidR="00E0513B" w:rsidRPr="00E0513B">
        <w:t>Armenia Capital Inflows In percent of GDP</w:t>
      </w:r>
      <w:hyperlink w:anchor="_Toc195587440" w:history="1">
        <w:r w:rsidR="008F1B0B" w:rsidRPr="008F1B0B">
          <w:rPr>
            <w:webHidden/>
          </w:rPr>
          <w:tab/>
        </w:r>
        <w:r w:rsidR="008F1B0B">
          <w:rPr>
            <w:webHidden/>
          </w:rPr>
          <w:t>12</w:t>
        </w:r>
      </w:hyperlink>
    </w:p>
    <w:p w:rsidR="008F1B0B" w:rsidRPr="008F1B0B" w:rsidRDefault="00D633A4" w:rsidP="008F1B0B">
      <w:pPr>
        <w:pStyle w:val="TOC1"/>
        <w:rPr>
          <w:sz w:val="22"/>
          <w:szCs w:val="22"/>
          <w:lang w:eastAsia="en-US"/>
        </w:rPr>
      </w:pPr>
      <w:r>
        <w:t xml:space="preserve">Figure 11: </w:t>
      </w:r>
      <w:r w:rsidR="00796C18" w:rsidRPr="00796C18">
        <w:t>Armenia: FDI Geogra</w:t>
      </w:r>
      <w:r w:rsidR="00796C18">
        <w:t xml:space="preserve">phical Composition and External </w:t>
      </w:r>
      <w:r w:rsidR="00796C18" w:rsidRPr="00796C18">
        <w:t>Borrowing</w:t>
      </w:r>
      <w:hyperlink w:anchor="_Toc195587440" w:history="1">
        <w:r w:rsidR="008F1B0B" w:rsidRPr="008F1B0B">
          <w:rPr>
            <w:webHidden/>
          </w:rPr>
          <w:tab/>
        </w:r>
        <w:r w:rsidR="008F1B0B">
          <w:rPr>
            <w:webHidden/>
          </w:rPr>
          <w:t>13</w:t>
        </w:r>
      </w:hyperlink>
    </w:p>
    <w:p w:rsidR="008F1B0B" w:rsidRPr="008F1B0B" w:rsidRDefault="00D633A4" w:rsidP="008F1B0B">
      <w:pPr>
        <w:pStyle w:val="TOC1"/>
        <w:rPr>
          <w:sz w:val="22"/>
          <w:szCs w:val="22"/>
          <w:lang w:eastAsia="en-US"/>
        </w:rPr>
      </w:pPr>
      <w:r>
        <w:t>Figure 1</w:t>
      </w:r>
      <w:r w:rsidR="00796C18">
        <w:t>2</w:t>
      </w:r>
      <w:r>
        <w:t xml:space="preserve">: </w:t>
      </w:r>
      <w:r w:rsidR="00796C18" w:rsidRPr="00796C18">
        <w:t>Armenia: Structure of FDI Stocks and Flows</w:t>
      </w:r>
      <w:hyperlink w:anchor="_Toc195587440" w:history="1">
        <w:r w:rsidR="008F1B0B" w:rsidRPr="008F1B0B">
          <w:rPr>
            <w:webHidden/>
          </w:rPr>
          <w:tab/>
        </w:r>
        <w:r w:rsidR="008F1B0B">
          <w:rPr>
            <w:webHidden/>
          </w:rPr>
          <w:t>14</w:t>
        </w:r>
      </w:hyperlink>
    </w:p>
    <w:p w:rsidR="008F1B0B" w:rsidRPr="008F1B0B" w:rsidRDefault="00796C18" w:rsidP="008F1B0B">
      <w:pPr>
        <w:pStyle w:val="TOC1"/>
        <w:rPr>
          <w:sz w:val="22"/>
          <w:szCs w:val="22"/>
          <w:lang w:eastAsia="en-US"/>
        </w:rPr>
      </w:pPr>
      <w:r>
        <w:t xml:space="preserve">Figure 13: </w:t>
      </w:r>
      <w:r w:rsidR="00D633A4">
        <w:t>Bayoumi and Swiston approach</w:t>
      </w:r>
      <w:hyperlink w:anchor="_Toc195587440" w:history="1">
        <w:r w:rsidR="008F1B0B" w:rsidRPr="008F1B0B">
          <w:rPr>
            <w:webHidden/>
          </w:rPr>
          <w:tab/>
        </w:r>
        <w:r w:rsidR="008F1B0B">
          <w:rPr>
            <w:webHidden/>
          </w:rPr>
          <w:t>16</w:t>
        </w:r>
      </w:hyperlink>
    </w:p>
    <w:p w:rsidR="008F1B0B" w:rsidRPr="008F1B0B" w:rsidRDefault="00D633A4" w:rsidP="008F1B0B">
      <w:pPr>
        <w:pStyle w:val="TOC1"/>
        <w:rPr>
          <w:sz w:val="22"/>
          <w:szCs w:val="22"/>
          <w:lang w:eastAsia="en-US"/>
        </w:rPr>
      </w:pPr>
      <w:r>
        <w:lastRenderedPageBreak/>
        <w:t>Figure 1</w:t>
      </w:r>
      <w:r w:rsidR="00796C18">
        <w:t>4</w:t>
      </w:r>
      <w:r>
        <w:t>: Cumulative Response of Armenian Real GDP Growth to Structural one S.D.</w:t>
      </w:r>
      <w:r w:rsidR="00796C18">
        <w:t xml:space="preserve"> </w:t>
      </w:r>
      <w:r>
        <w:t>Innovation</w:t>
      </w:r>
      <w:hyperlink w:anchor="_Toc195587440" w:history="1">
        <w:r w:rsidR="008F1B0B" w:rsidRPr="008F1B0B">
          <w:rPr>
            <w:webHidden/>
          </w:rPr>
          <w:tab/>
        </w:r>
        <w:r w:rsidR="008F1B0B">
          <w:rPr>
            <w:webHidden/>
          </w:rPr>
          <w:t>19</w:t>
        </w:r>
      </w:hyperlink>
    </w:p>
    <w:p w:rsidR="008F1B0B" w:rsidRPr="00822F7B" w:rsidRDefault="00D633A4" w:rsidP="00822F7B">
      <w:pPr>
        <w:pStyle w:val="TOC1"/>
      </w:pPr>
      <w:r>
        <w:t>Figure 1</w:t>
      </w:r>
      <w:r w:rsidR="00796C18">
        <w:t>5</w:t>
      </w:r>
      <w:r>
        <w:t xml:space="preserve">: </w:t>
      </w:r>
      <w:r w:rsidR="00822F7B" w:rsidRPr="00822F7B">
        <w:t xml:space="preserve">Decomposition of Spillovers by Main Trading Partners: Cumulative Response of Armenian GDP Growth to a World Demand Shock </w:t>
      </w:r>
      <w:hyperlink w:anchor="_Toc195587440" w:history="1">
        <w:r w:rsidR="008F1B0B" w:rsidRPr="008F1B0B">
          <w:rPr>
            <w:webHidden/>
          </w:rPr>
          <w:tab/>
        </w:r>
        <w:r w:rsidR="008F1B0B">
          <w:rPr>
            <w:webHidden/>
          </w:rPr>
          <w:t>20</w:t>
        </w:r>
      </w:hyperlink>
    </w:p>
    <w:p w:rsidR="008F1B0B" w:rsidRPr="00822F7B" w:rsidRDefault="00D633A4" w:rsidP="00822F7B">
      <w:pPr>
        <w:pStyle w:val="TOC1"/>
      </w:pPr>
      <w:r>
        <w:t>Figure 1</w:t>
      </w:r>
      <w:r w:rsidR="00796C18">
        <w:t>6</w:t>
      </w:r>
      <w:r>
        <w:t xml:space="preserve">: </w:t>
      </w:r>
      <w:r w:rsidR="00822F7B" w:rsidRPr="00822F7B">
        <w:t xml:space="preserve">Decomposition of Spillovers by Transmission Channels: Cumulative Response of Armenian GDP Growth to a World Demand Shock </w:t>
      </w:r>
      <w:hyperlink w:anchor="_Toc195587440" w:history="1">
        <w:r w:rsidR="008F1B0B" w:rsidRPr="008F1B0B">
          <w:rPr>
            <w:webHidden/>
          </w:rPr>
          <w:tab/>
        </w:r>
        <w:r w:rsidR="008F1B0B">
          <w:rPr>
            <w:webHidden/>
          </w:rPr>
          <w:t>20</w:t>
        </w:r>
      </w:hyperlink>
    </w:p>
    <w:p w:rsidR="008F1B0B" w:rsidRPr="00822F7B" w:rsidRDefault="00D633A4" w:rsidP="00822F7B">
      <w:pPr>
        <w:pStyle w:val="TOC1"/>
      </w:pPr>
      <w:r>
        <w:t>Figure 1</w:t>
      </w:r>
      <w:r w:rsidR="00FA3A5D">
        <w:t>7</w:t>
      </w:r>
      <w:r>
        <w:t xml:space="preserve">: </w:t>
      </w:r>
      <w:r w:rsidR="00822F7B" w:rsidRPr="00822F7B">
        <w:t>Decomposition of Spillovers by Transmission Channels: Cumulative Response of Sector Growth to a World Demand Shock</w:t>
      </w:r>
      <w:hyperlink w:anchor="_Toc195587440" w:history="1">
        <w:r w:rsidR="008F1B0B" w:rsidRPr="008F1B0B">
          <w:rPr>
            <w:webHidden/>
          </w:rPr>
          <w:tab/>
        </w:r>
        <w:r w:rsidR="008F1B0B">
          <w:rPr>
            <w:webHidden/>
          </w:rPr>
          <w:t>22</w:t>
        </w:r>
      </w:hyperlink>
    </w:p>
    <w:p w:rsidR="008F1B0B" w:rsidRPr="008F1B0B" w:rsidRDefault="00D633A4" w:rsidP="008F1B0B">
      <w:pPr>
        <w:pStyle w:val="TOC1"/>
        <w:rPr>
          <w:sz w:val="22"/>
          <w:szCs w:val="22"/>
          <w:lang w:eastAsia="en-US"/>
        </w:rPr>
      </w:pPr>
      <w:r>
        <w:t xml:space="preserve">Table 1: </w:t>
      </w:r>
      <w:r w:rsidR="003715A7">
        <w:t>E</w:t>
      </w:r>
      <w:r>
        <w:t>conomy Openness in Selected countries, 2010-2013</w:t>
      </w:r>
      <w:hyperlink w:anchor="_Toc195587440" w:history="1">
        <w:r w:rsidR="008F1B0B" w:rsidRPr="008F1B0B">
          <w:rPr>
            <w:webHidden/>
          </w:rPr>
          <w:tab/>
        </w:r>
        <w:r w:rsidR="008F1B0B">
          <w:rPr>
            <w:webHidden/>
          </w:rPr>
          <w:t>6</w:t>
        </w:r>
      </w:hyperlink>
    </w:p>
    <w:p w:rsidR="008F1B0B" w:rsidRPr="008F1B0B" w:rsidRDefault="00D633A4" w:rsidP="008F1B0B">
      <w:pPr>
        <w:pStyle w:val="TOC1"/>
        <w:rPr>
          <w:sz w:val="22"/>
          <w:szCs w:val="22"/>
          <w:lang w:eastAsia="en-US"/>
        </w:rPr>
      </w:pPr>
      <w:r>
        <w:t>Table 2: Co</w:t>
      </w:r>
      <w:r w:rsidR="0076681D" w:rsidRPr="0076681D">
        <w:t>-</w:t>
      </w:r>
      <w:r>
        <w:t xml:space="preserve">movement </w:t>
      </w:r>
      <w:r w:rsidR="003715A7">
        <w:t>of Armenian GDP growth with Selected Countries</w:t>
      </w:r>
      <w:hyperlink w:anchor="_Toc195587440" w:history="1">
        <w:r w:rsidR="008F1B0B" w:rsidRPr="008F1B0B">
          <w:rPr>
            <w:webHidden/>
          </w:rPr>
          <w:tab/>
        </w:r>
        <w:r w:rsidR="008F1B0B">
          <w:rPr>
            <w:webHidden/>
          </w:rPr>
          <w:t>6</w:t>
        </w:r>
      </w:hyperlink>
    </w:p>
    <w:p w:rsidR="008F1B0B" w:rsidRPr="008F1B0B" w:rsidRDefault="00D633A4" w:rsidP="008F1B0B">
      <w:pPr>
        <w:pStyle w:val="TOC1"/>
        <w:rPr>
          <w:sz w:val="22"/>
          <w:szCs w:val="22"/>
          <w:lang w:eastAsia="en-US"/>
        </w:rPr>
      </w:pPr>
      <w:r>
        <w:t>Table 3:  Sizes of one-standard deviation structural shocks to the model</w:t>
      </w:r>
      <w:hyperlink w:anchor="_Toc195587440" w:history="1">
        <w:r w:rsidR="008F1B0B" w:rsidRPr="008F1B0B">
          <w:rPr>
            <w:webHidden/>
          </w:rPr>
          <w:tab/>
        </w:r>
        <w:r w:rsidR="008F1B0B">
          <w:rPr>
            <w:webHidden/>
          </w:rPr>
          <w:t>18</w:t>
        </w:r>
      </w:hyperlink>
    </w:p>
    <w:p w:rsidR="0016148D" w:rsidRDefault="0016148D" w:rsidP="008F1B0B">
      <w:pPr>
        <w:pStyle w:val="Keywords"/>
      </w:pPr>
    </w:p>
    <w:p w:rsidR="00D20873" w:rsidRDefault="00D20873">
      <w:pPr>
        <w:rPr>
          <w:noProof/>
        </w:rPr>
      </w:pPr>
      <w:r>
        <w:rPr>
          <w:noProof/>
        </w:rPr>
        <w:br w:type="page"/>
      </w:r>
    </w:p>
    <w:p w:rsidR="0016148D" w:rsidRDefault="004C26A3" w:rsidP="004C26A3">
      <w:pPr>
        <w:pStyle w:val="Heading1"/>
        <w:rPr>
          <w:noProof/>
        </w:rPr>
      </w:pPr>
      <w:bookmarkStart w:id="27" w:name="bkBodyText"/>
      <w:bookmarkEnd w:id="27"/>
      <w:r w:rsidRPr="004C26A3">
        <w:rPr>
          <w:noProof/>
        </w:rPr>
        <w:lastRenderedPageBreak/>
        <w:t>Introduction</w:t>
      </w:r>
    </w:p>
    <w:p w:rsidR="00BE214E" w:rsidRDefault="00BE214E" w:rsidP="00BE214E">
      <w:r>
        <w:t xml:space="preserve">As a small open economy, Armenian economy is highly exposed to global developments, either directly or indirectly through the impact that these developments produce </w:t>
      </w:r>
      <w:r w:rsidR="006B01B1">
        <w:t xml:space="preserve">in </w:t>
      </w:r>
      <w:r>
        <w:t xml:space="preserve">its main trading partners. In addition, Armenia is highly exposed to spillovers from specific shocks that originate in its main trading partners. </w:t>
      </w:r>
      <w:r w:rsidR="00341CA8">
        <w:t>D</w:t>
      </w:r>
      <w:r>
        <w:t xml:space="preserve">espite its relevance, empirical work on global and regional spillovers </w:t>
      </w:r>
      <w:r w:rsidR="006B01B1">
        <w:t xml:space="preserve">to the </w:t>
      </w:r>
      <w:r>
        <w:t xml:space="preserve">Armenian economy is scant. It mostly focuses on describing stylized facts, especially Armenia’s large exposure to Russia. To </w:t>
      </w:r>
      <w:r w:rsidR="006B01B1">
        <w:t xml:space="preserve">help </w:t>
      </w:r>
      <w:r>
        <w:t xml:space="preserve">fill the </w:t>
      </w:r>
      <w:r w:rsidR="006B01B1">
        <w:t xml:space="preserve">gap, </w:t>
      </w:r>
      <w:r>
        <w:t xml:space="preserve">this paper aims at assessing, in an empirical way, the size, </w:t>
      </w:r>
      <w:r w:rsidR="00B44D53">
        <w:t xml:space="preserve">geographical </w:t>
      </w:r>
      <w:r>
        <w:t xml:space="preserve">sources, and transmission channels of spillovers from external shocks to Armenia. The goal is to identify the relative contribution of different channels such as trade, remittances, tourism and external borrowing and the role played by different geographical areas such as Russia, </w:t>
      </w:r>
      <w:r w:rsidR="006B01B1">
        <w:t xml:space="preserve">the </w:t>
      </w:r>
      <w:r>
        <w:t xml:space="preserve">EU and </w:t>
      </w:r>
      <w:r w:rsidR="006B01B1">
        <w:t xml:space="preserve">the </w:t>
      </w:r>
      <w:r>
        <w:t>U</w:t>
      </w:r>
      <w:r w:rsidR="006B01B1">
        <w:t>.</w:t>
      </w:r>
      <w:r>
        <w:t xml:space="preserve">S. The paper </w:t>
      </w:r>
      <w:r w:rsidR="006B01B1">
        <w:t xml:space="preserve">aims to </w:t>
      </w:r>
      <w:r>
        <w:t xml:space="preserve">answer </w:t>
      </w:r>
      <w:r w:rsidR="006B01B1">
        <w:t xml:space="preserve">several </w:t>
      </w:r>
      <w:r>
        <w:t xml:space="preserve">questions. First, what is the impact of global shocks on </w:t>
      </w:r>
      <w:r w:rsidR="006B01B1">
        <w:t xml:space="preserve">the </w:t>
      </w:r>
      <w:r>
        <w:t>Armenian economy? Second, what are the countries and regional areas through which th</w:t>
      </w:r>
      <w:r w:rsidR="00341CA8">
        <w:t>is impact takes place</w:t>
      </w:r>
      <w:r>
        <w:t xml:space="preserve">? Third, what </w:t>
      </w:r>
      <w:r w:rsidR="00341CA8">
        <w:t>are</w:t>
      </w:r>
      <w:r>
        <w:t xml:space="preserve"> the </w:t>
      </w:r>
      <w:r w:rsidR="00341CA8">
        <w:t xml:space="preserve">main </w:t>
      </w:r>
      <w:r>
        <w:t xml:space="preserve">transmission channels? Fourth, what are the economic activities </w:t>
      </w:r>
      <w:r w:rsidR="006B01B1">
        <w:t xml:space="preserve">in Armenia </w:t>
      </w:r>
      <w:r>
        <w:t>that are most impacted?</w:t>
      </w:r>
    </w:p>
    <w:p w:rsidR="00BE214E" w:rsidRDefault="00BE214E" w:rsidP="00BE214E"/>
    <w:p w:rsidR="00BE214E" w:rsidRDefault="00BE214E" w:rsidP="00BE214E">
      <w:r>
        <w:t xml:space="preserve">These are all </w:t>
      </w:r>
      <w:r w:rsidR="006B01B1">
        <w:t xml:space="preserve">important </w:t>
      </w:r>
      <w:r>
        <w:t xml:space="preserve">questions, given the substantive increase in </w:t>
      </w:r>
      <w:r w:rsidR="00E740DA">
        <w:t xml:space="preserve">Armenia’s </w:t>
      </w:r>
      <w:r>
        <w:t>openness over the past decade. Linkages to Russia and the EU have greatly expanded through trade</w:t>
      </w:r>
      <w:r w:rsidR="006B01B1">
        <w:t>—</w:t>
      </w:r>
      <w:r>
        <w:t>especially exports of minerals and metals</w:t>
      </w:r>
      <w:r w:rsidR="00B44D53">
        <w:t>,</w:t>
      </w:r>
      <w:r>
        <w:t xml:space="preserve"> tourism, cross-border financing and remittances. Russia and EU are Armenia’s most important trading partners, with Russia being the major source of remittances, FDI</w:t>
      </w:r>
      <w:r w:rsidR="00851362">
        <w:t>,</w:t>
      </w:r>
      <w:r>
        <w:t xml:space="preserve"> and other financial inflows. As these linkages </w:t>
      </w:r>
      <w:r w:rsidR="00851362">
        <w:t xml:space="preserve">have </w:t>
      </w:r>
      <w:r>
        <w:t>strengthen</w:t>
      </w:r>
      <w:r w:rsidR="00851362">
        <w:t>ed</w:t>
      </w:r>
      <w:r>
        <w:t>, Armenia</w:t>
      </w:r>
      <w:r w:rsidR="00B44D53">
        <w:t>’s</w:t>
      </w:r>
      <w:r>
        <w:t xml:space="preserve"> exposure to global and regional shocks </w:t>
      </w:r>
      <w:r w:rsidR="00851362">
        <w:t>has increased</w:t>
      </w:r>
      <w:r>
        <w:t xml:space="preserve">. Recent examples of these shocks are </w:t>
      </w:r>
      <w:r w:rsidR="00B44D53">
        <w:t xml:space="preserve">(i) </w:t>
      </w:r>
      <w:r>
        <w:t>the global financial crisis</w:t>
      </w:r>
      <w:r w:rsidR="00BA69F1">
        <w:t xml:space="preserve"> of 2008-09</w:t>
      </w:r>
      <w:r w:rsidR="00851362">
        <w:t xml:space="preserve"> </w:t>
      </w:r>
      <w:r>
        <w:t xml:space="preserve">and </w:t>
      </w:r>
      <w:r w:rsidR="00BA69F1">
        <w:t xml:space="preserve">ensuing </w:t>
      </w:r>
      <w:r>
        <w:t xml:space="preserve">high volatility in commodity prices, </w:t>
      </w:r>
      <w:r w:rsidR="00B44D53">
        <w:t xml:space="preserve">(ii) the </w:t>
      </w:r>
      <w:r>
        <w:t>geopolitical tensions in Russia and Ukraine</w:t>
      </w:r>
      <w:r w:rsidR="006F2E71">
        <w:t xml:space="preserve">, </w:t>
      </w:r>
      <w:r w:rsidR="00765EC2">
        <w:t xml:space="preserve">and </w:t>
      </w:r>
      <w:r w:rsidR="00B44D53">
        <w:t xml:space="preserve">(iii) </w:t>
      </w:r>
      <w:r w:rsidR="00765EC2">
        <w:t>the</w:t>
      </w:r>
      <w:r w:rsidR="006F2E71">
        <w:t xml:space="preserve"> sharp decline in international oil prices</w:t>
      </w:r>
      <w:r w:rsidR="00BA69F1">
        <w:t xml:space="preserve"> </w:t>
      </w:r>
      <w:r w:rsidR="00851362">
        <w:t xml:space="preserve">in </w:t>
      </w:r>
      <w:r w:rsidR="00BA69F1">
        <w:t>2014.</w:t>
      </w:r>
      <w:r>
        <w:t xml:space="preserve"> Information on the size, </w:t>
      </w:r>
      <w:r w:rsidR="00B44D53">
        <w:t xml:space="preserve">geographical </w:t>
      </w:r>
      <w:r>
        <w:t>source</w:t>
      </w:r>
      <w:r w:rsidR="00B44D53">
        <w:t>s</w:t>
      </w:r>
      <w:r>
        <w:t xml:space="preserve"> and transmission </w:t>
      </w:r>
      <w:r w:rsidR="00EE63DC" w:rsidRPr="00EE63DC">
        <w:t>channels</w:t>
      </w:r>
      <w:r>
        <w:t xml:space="preserve"> </w:t>
      </w:r>
      <w:r w:rsidR="006F2E71">
        <w:t xml:space="preserve">of these external shocks is critical to guide the design of </w:t>
      </w:r>
      <w:r>
        <w:t xml:space="preserve">macroeconomic policies </w:t>
      </w:r>
      <w:r w:rsidR="00851362">
        <w:t xml:space="preserve">that help to </w:t>
      </w:r>
      <w:r>
        <w:t>limit or offset the</w:t>
      </w:r>
      <w:r w:rsidR="000A588A">
        <w:t>ir</w:t>
      </w:r>
      <w:r>
        <w:t xml:space="preserve"> impact</w:t>
      </w:r>
      <w:r w:rsidR="000A588A">
        <w:t>.</w:t>
      </w:r>
      <w:r>
        <w:t xml:space="preserve"> </w:t>
      </w:r>
    </w:p>
    <w:p w:rsidR="00BE214E" w:rsidRDefault="00BE214E" w:rsidP="00BE214E"/>
    <w:p w:rsidR="00BE214E" w:rsidRDefault="00BE214E" w:rsidP="00BE214E">
      <w:r>
        <w:t>In line with recent studies</w:t>
      </w:r>
      <w:r w:rsidR="00851362">
        <w:t xml:space="preserve"> of shocks and spillovers</w:t>
      </w:r>
      <w:r>
        <w:t xml:space="preserve">, this paper uses a structural vector auto-regression (SVAR) model. </w:t>
      </w:r>
      <w:r w:rsidR="00B77B9B">
        <w:t xml:space="preserve">As </w:t>
      </w:r>
      <w:r w:rsidR="00851362">
        <w:t xml:space="preserve">shown </w:t>
      </w:r>
      <w:r w:rsidR="00B77B9B">
        <w:t>in the paper, t</w:t>
      </w:r>
      <w:r>
        <w:t xml:space="preserve">his technique </w:t>
      </w:r>
      <w:r w:rsidR="00851362">
        <w:t xml:space="preserve">is both </w:t>
      </w:r>
      <w:r>
        <w:t xml:space="preserve">powerful and robust </w:t>
      </w:r>
      <w:r w:rsidR="00851362">
        <w:t xml:space="preserve">in measuring </w:t>
      </w:r>
      <w:r>
        <w:t xml:space="preserve">the response of Armenian GDP growth to shocks. However, the identification of the relative contribution of different transmission channels and geographical areas poses challenges in the case of Armenia. These derive from the oil-exporting nature of </w:t>
      </w:r>
      <w:r w:rsidR="00B44D53">
        <w:t xml:space="preserve">the </w:t>
      </w:r>
      <w:r>
        <w:t xml:space="preserve">Russian economy, the EU’s </w:t>
      </w:r>
      <w:r w:rsidR="00BD5010">
        <w:t xml:space="preserve">high </w:t>
      </w:r>
      <w:r>
        <w:t xml:space="preserve">dependence on </w:t>
      </w:r>
      <w:r w:rsidR="00BD5010">
        <w:t xml:space="preserve">oil </w:t>
      </w:r>
      <w:r>
        <w:t xml:space="preserve">imports, and Armenia’s </w:t>
      </w:r>
      <w:r w:rsidR="00BD5010">
        <w:t>relative low direct exposure to changes in oil prices</w:t>
      </w:r>
      <w:r>
        <w:t xml:space="preserve">. Under these conditions, an increase in </w:t>
      </w:r>
      <w:r w:rsidR="00B44D53">
        <w:t xml:space="preserve">international </w:t>
      </w:r>
      <w:r>
        <w:t xml:space="preserve">oil prices, which would depress economic activity in EU countries, </w:t>
      </w:r>
      <w:r w:rsidR="00851362">
        <w:t xml:space="preserve">may </w:t>
      </w:r>
      <w:r>
        <w:t xml:space="preserve">have a positive impact on Armenia, because of </w:t>
      </w:r>
      <w:r w:rsidR="00E740DA">
        <w:t xml:space="preserve">related </w:t>
      </w:r>
      <w:r>
        <w:t>increases in Russia’s economic activity</w:t>
      </w:r>
      <w:r w:rsidR="00463A92">
        <w:t xml:space="preserve">. In addition, and despite being an </w:t>
      </w:r>
      <w:r w:rsidR="00B44D53">
        <w:t>energy</w:t>
      </w:r>
      <w:r w:rsidR="00463A92">
        <w:t>-importing country, the increase in oil prices</w:t>
      </w:r>
      <w:r>
        <w:t xml:space="preserve"> </w:t>
      </w:r>
      <w:r w:rsidR="00E057AA">
        <w:t xml:space="preserve">may </w:t>
      </w:r>
      <w:r w:rsidR="00463A92">
        <w:t xml:space="preserve">not have a significant </w:t>
      </w:r>
      <w:r w:rsidR="00E057AA">
        <w:t xml:space="preserve">negative </w:t>
      </w:r>
      <w:r w:rsidR="00463A92">
        <w:t xml:space="preserve">impact on </w:t>
      </w:r>
      <w:r>
        <w:t xml:space="preserve">Armenia’s </w:t>
      </w:r>
      <w:r w:rsidR="00463A92">
        <w:t xml:space="preserve">economy, given </w:t>
      </w:r>
      <w:r w:rsidR="00E057AA">
        <w:t xml:space="preserve">the </w:t>
      </w:r>
      <w:r w:rsidR="00B44D53">
        <w:t>high level of gasification</w:t>
      </w:r>
      <w:r w:rsidR="00BD5010">
        <w:t xml:space="preserve">, </w:t>
      </w:r>
      <w:r w:rsidR="00B44D53">
        <w:t xml:space="preserve">the </w:t>
      </w:r>
      <w:r w:rsidR="00E057AA">
        <w:t xml:space="preserve">use of </w:t>
      </w:r>
      <w:r w:rsidR="00463A92">
        <w:t xml:space="preserve">long-term </w:t>
      </w:r>
      <w:r w:rsidR="00E057AA">
        <w:t xml:space="preserve">energy supply </w:t>
      </w:r>
      <w:r w:rsidR="00463A92">
        <w:t>agreements with Russia</w:t>
      </w:r>
      <w:r w:rsidR="00BD5010">
        <w:t>,</w:t>
      </w:r>
      <w:r w:rsidR="00463A92">
        <w:t xml:space="preserve"> and the prevalence of non-</w:t>
      </w:r>
      <w:r w:rsidR="00E057AA">
        <w:t xml:space="preserve">hydrocarbon </w:t>
      </w:r>
      <w:r w:rsidR="00463A92">
        <w:t>energy sources</w:t>
      </w:r>
      <w:r w:rsidR="00E057AA">
        <w:t xml:space="preserve"> (nuclear, hydroelectric)</w:t>
      </w:r>
      <w:r w:rsidR="00463A92">
        <w:t xml:space="preserve">. </w:t>
      </w:r>
      <w:r>
        <w:t xml:space="preserve">To overcome these identification difficulties, this paper uses the econometric strategy proposed by Bayoumi and Swiston (2009) and Reinout, Daniel and Joel (2010). This strategy relies on the estimation of a </w:t>
      </w:r>
      <w:r w:rsidRPr="00B77B9B">
        <w:rPr>
          <w:i/>
        </w:rPr>
        <w:t>baseline</w:t>
      </w:r>
      <w:r>
        <w:t xml:space="preserve"> SVAR to capture </w:t>
      </w:r>
      <w:r w:rsidR="00E740DA">
        <w:t xml:space="preserve">the </w:t>
      </w:r>
      <w:r>
        <w:t>impact of global GDP growth on Armenia</w:t>
      </w:r>
      <w:r w:rsidR="00E740DA">
        <w:t>n growth</w:t>
      </w:r>
      <w:r>
        <w:t>, which is augmented one at a time with data on different sectoral and regional factors.</w:t>
      </w:r>
    </w:p>
    <w:p w:rsidR="00E740DA" w:rsidRDefault="00E740DA" w:rsidP="00BE214E"/>
    <w:p w:rsidR="00BE214E" w:rsidRDefault="00E057AA" w:rsidP="00BE214E">
      <w:r>
        <w:lastRenderedPageBreak/>
        <w:t xml:space="preserve">The findings </w:t>
      </w:r>
      <w:r w:rsidR="00BE214E">
        <w:t xml:space="preserve">show </w:t>
      </w:r>
      <w:r w:rsidR="008E7A2C">
        <w:t xml:space="preserve">the </w:t>
      </w:r>
      <w:r w:rsidR="00BE214E">
        <w:t>strong response of Armenia</w:t>
      </w:r>
      <w:r w:rsidR="00B77B9B">
        <w:t>’s</w:t>
      </w:r>
      <w:r w:rsidR="00BE214E">
        <w:t xml:space="preserve"> real GDP growth to shocks to global GDP growth and commodity prices, while it remains relatively immune to instability in </w:t>
      </w:r>
      <w:r w:rsidR="00E740DA">
        <w:t>i</w:t>
      </w:r>
      <w:r w:rsidR="00BE214E">
        <w:t>nternational financial markets.</w:t>
      </w:r>
      <w:r w:rsidR="00E740DA">
        <w:t xml:space="preserve"> </w:t>
      </w:r>
      <w:r>
        <w:t>I</w:t>
      </w:r>
      <w:r w:rsidR="00BE214E">
        <w:t>mpact</w:t>
      </w:r>
      <w:r>
        <w:t>s</w:t>
      </w:r>
      <w:r w:rsidR="00BE214E">
        <w:t xml:space="preserve"> </w:t>
      </w:r>
      <w:r>
        <w:t xml:space="preserve">are </w:t>
      </w:r>
      <w:r w:rsidR="00BE214E">
        <w:t xml:space="preserve">mainly transmitted through </w:t>
      </w:r>
      <w:r>
        <w:t xml:space="preserve">the </w:t>
      </w:r>
      <w:r w:rsidR="00BE214E">
        <w:t>Russia</w:t>
      </w:r>
      <w:r>
        <w:t>n</w:t>
      </w:r>
      <w:r w:rsidR="00BE214E">
        <w:t xml:space="preserve"> and EU economies and through remittances and external borrowing</w:t>
      </w:r>
      <w:r>
        <w:t>. T</w:t>
      </w:r>
      <w:r w:rsidR="00BE214E">
        <w:t xml:space="preserve">he role of exports and tourism remains low. Russia is significantly important in transforming the negative impact of an increase in oil prices into a positive event in Armenia, through stronger Armenian remittances and exports. </w:t>
      </w:r>
      <w:r w:rsidR="00E740DA">
        <w:t>S</w:t>
      </w:r>
      <w:r w:rsidR="00BE214E">
        <w:t xml:space="preserve">ervices and construction are the two sectors that depend the most on remittances and external borrowing </w:t>
      </w:r>
      <w:r>
        <w:t xml:space="preserve">and </w:t>
      </w:r>
      <w:r w:rsidR="00BE214E">
        <w:t>are the most affected by global and regional shocks.</w:t>
      </w:r>
    </w:p>
    <w:p w:rsidR="00BE214E" w:rsidRDefault="00BE214E" w:rsidP="00BE214E"/>
    <w:p w:rsidR="00BE214E" w:rsidRDefault="00BE214E" w:rsidP="00BE214E">
      <w:r>
        <w:t xml:space="preserve">The paper is organized as follows. Section II provides background on the stylized facts regarding spillovers of global and regional shocks </w:t>
      </w:r>
      <w:r w:rsidR="00E057AA">
        <w:t xml:space="preserve">to the </w:t>
      </w:r>
      <w:r>
        <w:t xml:space="preserve">Armenian economy and </w:t>
      </w:r>
      <w:r w:rsidR="00E057AA">
        <w:t xml:space="preserve">on </w:t>
      </w:r>
      <w:r>
        <w:t>the main transmission channels. Section III d</w:t>
      </w:r>
      <w:r w:rsidR="00E740DA">
        <w:t xml:space="preserve">escribes the modeling technique. </w:t>
      </w:r>
      <w:r w:rsidR="00235D74">
        <w:t xml:space="preserve">It also presents the </w:t>
      </w:r>
      <w:r>
        <w:t xml:space="preserve">sectoral analysis </w:t>
      </w:r>
      <w:r w:rsidR="00235D74">
        <w:t xml:space="preserve">and </w:t>
      </w:r>
      <w:r>
        <w:t xml:space="preserve">provides </w:t>
      </w:r>
      <w:r w:rsidR="00E740DA">
        <w:t xml:space="preserve">data </w:t>
      </w:r>
      <w:r>
        <w:t>information</w:t>
      </w:r>
      <w:r w:rsidR="00E740DA">
        <w:t>.</w:t>
      </w:r>
      <w:r>
        <w:t xml:space="preserve"> Section IV shows the main econometric results. </w:t>
      </w:r>
      <w:r w:rsidR="00E057AA">
        <w:t>S</w:t>
      </w:r>
      <w:r>
        <w:t>ection V concludes.</w:t>
      </w:r>
    </w:p>
    <w:p w:rsidR="002D4249" w:rsidRDefault="002D4249" w:rsidP="00BE214E"/>
    <w:p w:rsidR="002D4249" w:rsidRPr="007D4175" w:rsidRDefault="002D4249" w:rsidP="007D4175">
      <w:pPr>
        <w:pStyle w:val="Heading1"/>
      </w:pPr>
      <w:r w:rsidRPr="007D4175">
        <w:t xml:space="preserve">Global and Regional Shocks and Transmission Channels to </w:t>
      </w:r>
      <w:r w:rsidR="00E057AA">
        <w:t xml:space="preserve">the </w:t>
      </w:r>
      <w:r w:rsidRPr="007D4175">
        <w:t xml:space="preserve">Armenian Economy </w:t>
      </w:r>
    </w:p>
    <w:p w:rsidR="002D4249" w:rsidRDefault="00BD5010" w:rsidP="002D4249">
      <w:pPr>
        <w:pStyle w:val="Heading2"/>
        <w:numPr>
          <w:ilvl w:val="0"/>
          <w:numId w:val="16"/>
        </w:numPr>
        <w:tabs>
          <w:tab w:val="left" w:pos="0"/>
        </w:tabs>
        <w:autoSpaceDE w:val="0"/>
        <w:autoSpaceDN w:val="0"/>
        <w:adjustRightInd w:val="0"/>
        <w:spacing w:after="120"/>
        <w:rPr>
          <w:rFonts w:cs="Times New Roman"/>
          <w:bCs w:val="0"/>
          <w:color w:val="000000" w:themeColor="text1"/>
          <w:szCs w:val="24"/>
        </w:rPr>
      </w:pPr>
      <w:r>
        <w:rPr>
          <w:rFonts w:cs="Times New Roman"/>
          <w:bCs w:val="0"/>
          <w:noProof/>
          <w:color w:val="000000" w:themeColor="text1"/>
          <w:szCs w:val="24"/>
        </w:rPr>
        <w:drawing>
          <wp:anchor distT="0" distB="0" distL="114300" distR="114300" simplePos="0" relativeHeight="251664384" behindDoc="1" locked="0" layoutInCell="1" allowOverlap="1">
            <wp:simplePos x="0" y="0"/>
            <wp:positionH relativeFrom="column">
              <wp:posOffset>2862580</wp:posOffset>
            </wp:positionH>
            <wp:positionV relativeFrom="paragraph">
              <wp:posOffset>243205</wp:posOffset>
            </wp:positionV>
            <wp:extent cx="2907030" cy="2005330"/>
            <wp:effectExtent l="19050" t="19050" r="26670" b="13970"/>
            <wp:wrapTight wrapText="bothSides">
              <wp:wrapPolygon edited="0">
                <wp:start x="-142" y="-205"/>
                <wp:lineTo x="-142" y="21750"/>
                <wp:lineTo x="21798" y="21750"/>
                <wp:lineTo x="21798" y="-205"/>
                <wp:lineTo x="-142" y="-20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07030" cy="2005330"/>
                    </a:xfrm>
                    <a:prstGeom prst="rect">
                      <a:avLst/>
                    </a:prstGeom>
                    <a:noFill/>
                    <a:ln w="6350">
                      <a:solidFill>
                        <a:schemeClr val="tx1"/>
                      </a:solidFill>
                      <a:miter lim="800000"/>
                      <a:headEnd/>
                      <a:tailEnd/>
                    </a:ln>
                  </pic:spPr>
                </pic:pic>
              </a:graphicData>
            </a:graphic>
          </wp:anchor>
        </w:drawing>
      </w:r>
      <w:r w:rsidR="002D4249" w:rsidRPr="00922244">
        <w:rPr>
          <w:rFonts w:cs="Times New Roman"/>
          <w:bCs w:val="0"/>
          <w:color w:val="000000" w:themeColor="text1"/>
          <w:szCs w:val="24"/>
        </w:rPr>
        <w:t>Global and Regional Shocks</w:t>
      </w:r>
    </w:p>
    <w:p w:rsidR="00341CA8" w:rsidRDefault="002D4249" w:rsidP="006F2E71">
      <w:pPr>
        <w:rPr>
          <w:szCs w:val="24"/>
        </w:rPr>
      </w:pPr>
      <w:r w:rsidRPr="00922244">
        <w:rPr>
          <w:szCs w:val="24"/>
        </w:rPr>
        <w:t xml:space="preserve">Armenia is a small economy with a </w:t>
      </w:r>
      <w:r w:rsidR="00E057AA">
        <w:rPr>
          <w:szCs w:val="24"/>
        </w:rPr>
        <w:t xml:space="preserve">relatively </w:t>
      </w:r>
      <w:r w:rsidRPr="00922244">
        <w:rPr>
          <w:szCs w:val="24"/>
        </w:rPr>
        <w:t xml:space="preserve">high </w:t>
      </w:r>
      <w:r w:rsidR="00E057AA">
        <w:rPr>
          <w:szCs w:val="24"/>
        </w:rPr>
        <w:t xml:space="preserve">degree </w:t>
      </w:r>
      <w:r w:rsidRPr="00922244">
        <w:rPr>
          <w:szCs w:val="24"/>
        </w:rPr>
        <w:t>of openness, especially when compared to countries (</w:t>
      </w:r>
      <w:r w:rsidRPr="00D408EB">
        <w:rPr>
          <w:color w:val="000000" w:themeColor="text1"/>
          <w:szCs w:val="24"/>
        </w:rPr>
        <w:t xml:space="preserve">Table 1). All </w:t>
      </w:r>
      <w:r w:rsidRPr="00922244">
        <w:rPr>
          <w:szCs w:val="24"/>
        </w:rPr>
        <w:t xml:space="preserve">key </w:t>
      </w:r>
      <w:r w:rsidR="00145D6F">
        <w:rPr>
          <w:szCs w:val="24"/>
        </w:rPr>
        <w:t xml:space="preserve">external flow </w:t>
      </w:r>
      <w:r w:rsidRPr="00922244">
        <w:rPr>
          <w:szCs w:val="24"/>
        </w:rPr>
        <w:t>variables, including exports, imports, remittances</w:t>
      </w:r>
      <w:r w:rsidR="00145D6F">
        <w:rPr>
          <w:szCs w:val="24"/>
        </w:rPr>
        <w:t>,</w:t>
      </w:r>
      <w:r w:rsidRPr="00922244">
        <w:rPr>
          <w:szCs w:val="24"/>
        </w:rPr>
        <w:t xml:space="preserve"> and FDI are sizeable in Armenia. This implies that global economic developments affect substantially </w:t>
      </w:r>
      <w:r w:rsidR="00145D6F">
        <w:rPr>
          <w:szCs w:val="24"/>
        </w:rPr>
        <w:t xml:space="preserve">the </w:t>
      </w:r>
      <w:r w:rsidRPr="00922244">
        <w:rPr>
          <w:szCs w:val="24"/>
        </w:rPr>
        <w:t xml:space="preserve">Armenian economy, either directly or indirectly through the impact that global developments have on </w:t>
      </w:r>
      <w:r w:rsidR="00145D6F" w:rsidRPr="00922244">
        <w:rPr>
          <w:szCs w:val="24"/>
        </w:rPr>
        <w:t>Armenia</w:t>
      </w:r>
      <w:r w:rsidR="00145D6F">
        <w:rPr>
          <w:szCs w:val="24"/>
        </w:rPr>
        <w:t>’s</w:t>
      </w:r>
      <w:r w:rsidR="00145D6F" w:rsidRPr="00922244">
        <w:rPr>
          <w:szCs w:val="24"/>
        </w:rPr>
        <w:t xml:space="preserve"> </w:t>
      </w:r>
      <w:r w:rsidRPr="00922244">
        <w:rPr>
          <w:szCs w:val="24"/>
        </w:rPr>
        <w:t>main trading partners.</w:t>
      </w:r>
      <w:r w:rsidR="00341CA8" w:rsidRPr="00341CA8">
        <w:rPr>
          <w:szCs w:val="24"/>
        </w:rPr>
        <w:t xml:space="preserve"> </w:t>
      </w:r>
      <w:r w:rsidRPr="00922244">
        <w:rPr>
          <w:szCs w:val="24"/>
        </w:rPr>
        <w:t xml:space="preserve"> </w:t>
      </w:r>
    </w:p>
    <w:tbl>
      <w:tblPr>
        <w:tblpPr w:leftFromText="180" w:rightFromText="180" w:vertAnchor="text" w:horzAnchor="margin" w:tblpXSpec="right" w:tblpY="78"/>
        <w:tblW w:w="4608" w:type="dxa"/>
        <w:tblLook w:val="04A0" w:firstRow="1" w:lastRow="0" w:firstColumn="1" w:lastColumn="0" w:noHBand="0" w:noVBand="1"/>
      </w:tblPr>
      <w:tblGrid>
        <w:gridCol w:w="1149"/>
        <w:gridCol w:w="647"/>
        <w:gridCol w:w="647"/>
        <w:gridCol w:w="647"/>
        <w:gridCol w:w="801"/>
        <w:gridCol w:w="717"/>
      </w:tblGrid>
      <w:tr w:rsidR="00B07A10" w:rsidRPr="007D4175" w:rsidTr="00B07A10">
        <w:trPr>
          <w:trHeight w:val="633"/>
        </w:trPr>
        <w:tc>
          <w:tcPr>
            <w:tcW w:w="4608" w:type="dxa"/>
            <w:gridSpan w:val="6"/>
            <w:tcBorders>
              <w:top w:val="single" w:sz="4" w:space="0" w:color="auto"/>
              <w:left w:val="single" w:sz="4" w:space="0" w:color="auto"/>
              <w:bottom w:val="single" w:sz="8" w:space="0" w:color="auto"/>
              <w:right w:val="single" w:sz="4" w:space="0" w:color="auto"/>
            </w:tcBorders>
            <w:shd w:val="clear" w:color="000000" w:fill="FFFFFF"/>
            <w:vAlign w:val="center"/>
            <w:hideMark/>
          </w:tcPr>
          <w:p w:rsidR="00B07A10" w:rsidRPr="00B07A10" w:rsidRDefault="00B07A10" w:rsidP="00B07A10">
            <w:pPr>
              <w:jc w:val="center"/>
              <w:rPr>
                <w:b/>
                <w:bCs/>
                <w:color w:val="000000"/>
                <w:sz w:val="18"/>
                <w:szCs w:val="18"/>
              </w:rPr>
            </w:pPr>
            <w:r w:rsidRPr="00B07A10">
              <w:rPr>
                <w:b/>
                <w:bCs/>
                <w:color w:val="000000"/>
                <w:sz w:val="18"/>
                <w:szCs w:val="18"/>
              </w:rPr>
              <w:t>Table 2: Co-movement of Armenia GDP growth with Selected Countries, 2001q1-2014q1</w:t>
            </w:r>
            <w:r w:rsidRPr="00B07A10">
              <w:rPr>
                <w:b/>
                <w:bCs/>
                <w:color w:val="000000"/>
                <w:sz w:val="18"/>
                <w:szCs w:val="18"/>
                <w:vertAlign w:val="superscript"/>
              </w:rPr>
              <w:t>1</w:t>
            </w:r>
          </w:p>
        </w:tc>
      </w:tr>
      <w:tr w:rsidR="00B07A10" w:rsidRPr="007D4175" w:rsidTr="00B07A10">
        <w:trPr>
          <w:trHeight w:val="246"/>
        </w:trPr>
        <w:tc>
          <w:tcPr>
            <w:tcW w:w="4608" w:type="dxa"/>
            <w:gridSpan w:val="6"/>
            <w:tcBorders>
              <w:top w:val="single" w:sz="8" w:space="0" w:color="auto"/>
              <w:left w:val="single" w:sz="4" w:space="0" w:color="auto"/>
              <w:bottom w:val="nil"/>
              <w:right w:val="single" w:sz="4" w:space="0" w:color="auto"/>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 xml:space="preserve">         Cross-correlation of GDP yoy growth in period </w:t>
            </w:r>
            <w:r w:rsidRPr="00B07A10">
              <w:rPr>
                <w:i/>
                <w:iCs/>
                <w:color w:val="000000"/>
                <w:sz w:val="18"/>
                <w:szCs w:val="18"/>
              </w:rPr>
              <w:t>t</w:t>
            </w:r>
          </w:p>
        </w:tc>
      </w:tr>
      <w:tr w:rsidR="00B07A10" w:rsidRPr="007D4175" w:rsidTr="00B07A10">
        <w:trPr>
          <w:trHeight w:val="254"/>
        </w:trPr>
        <w:tc>
          <w:tcPr>
            <w:tcW w:w="4608" w:type="dxa"/>
            <w:gridSpan w:val="6"/>
            <w:tcBorders>
              <w:top w:val="nil"/>
              <w:left w:val="single" w:sz="4" w:space="0" w:color="auto"/>
              <w:bottom w:val="single" w:sz="8" w:space="0" w:color="auto"/>
              <w:right w:val="single" w:sz="4" w:space="0" w:color="auto"/>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 xml:space="preserve">         and trading partners, world GDP yoy growth in period:</w:t>
            </w:r>
          </w:p>
        </w:tc>
      </w:tr>
      <w:tr w:rsidR="00B07A10" w:rsidRPr="007D4175" w:rsidTr="00B07A10">
        <w:trPr>
          <w:trHeight w:val="262"/>
        </w:trPr>
        <w:tc>
          <w:tcPr>
            <w:tcW w:w="1149" w:type="dxa"/>
            <w:tcBorders>
              <w:top w:val="nil"/>
              <w:left w:val="single" w:sz="4" w:space="0" w:color="auto"/>
              <w:bottom w:val="single" w:sz="8" w:space="0" w:color="auto"/>
              <w:right w:val="single" w:sz="8" w:space="0" w:color="FFFFFF"/>
            </w:tcBorders>
            <w:shd w:val="clear" w:color="000000" w:fill="FFFFFF"/>
            <w:vAlign w:val="center"/>
            <w:hideMark/>
          </w:tcPr>
          <w:p w:rsidR="00B07A10" w:rsidRPr="00B07A10" w:rsidRDefault="00B07A10" w:rsidP="00B07A10">
            <w:pPr>
              <w:jc w:val="both"/>
              <w:rPr>
                <w:rFonts w:ascii="Sylfaen" w:hAnsi="Sylfaen"/>
                <w:color w:val="000000"/>
                <w:sz w:val="18"/>
                <w:szCs w:val="18"/>
              </w:rPr>
            </w:pPr>
            <w:r w:rsidRPr="00B07A10">
              <w:rPr>
                <w:rFonts w:ascii="Sylfaen" w:hAnsi="Sylfaen"/>
                <w:color w:val="000000"/>
                <w:sz w:val="18"/>
                <w:szCs w:val="18"/>
              </w:rPr>
              <w:t> </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rFonts w:ascii="Sylfaen" w:hAnsi="Sylfaen"/>
                <w:b/>
                <w:bCs/>
                <w:color w:val="000000"/>
                <w:sz w:val="18"/>
                <w:szCs w:val="18"/>
              </w:rPr>
            </w:pPr>
            <w:r w:rsidRPr="00B07A10">
              <w:rPr>
                <w:rFonts w:ascii="Sylfaen" w:hAnsi="Sylfaen"/>
                <w:b/>
                <w:bCs/>
                <w:color w:val="000000"/>
                <w:sz w:val="18"/>
                <w:szCs w:val="18"/>
              </w:rPr>
              <w:t>t-2</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rFonts w:ascii="Sylfaen" w:hAnsi="Sylfaen"/>
                <w:b/>
                <w:bCs/>
                <w:color w:val="000000"/>
                <w:sz w:val="18"/>
                <w:szCs w:val="18"/>
              </w:rPr>
            </w:pPr>
            <w:r w:rsidRPr="00B07A10">
              <w:rPr>
                <w:rFonts w:ascii="Sylfaen" w:hAnsi="Sylfaen"/>
                <w:b/>
                <w:bCs/>
                <w:color w:val="000000"/>
                <w:sz w:val="18"/>
                <w:szCs w:val="18"/>
              </w:rPr>
              <w:t>t-1</w:t>
            </w:r>
          </w:p>
        </w:tc>
        <w:tc>
          <w:tcPr>
            <w:tcW w:w="647" w:type="dxa"/>
            <w:tcBorders>
              <w:top w:val="nil"/>
              <w:left w:val="nil"/>
              <w:bottom w:val="single" w:sz="8" w:space="0" w:color="auto"/>
              <w:right w:val="single" w:sz="8" w:space="0" w:color="FFFFFF"/>
            </w:tcBorders>
            <w:shd w:val="clear" w:color="000000" w:fill="D9D9D9"/>
            <w:vAlign w:val="center"/>
            <w:hideMark/>
          </w:tcPr>
          <w:p w:rsidR="00B07A10" w:rsidRPr="00B07A10" w:rsidRDefault="00B07A10" w:rsidP="00B07A10">
            <w:pPr>
              <w:jc w:val="center"/>
              <w:rPr>
                <w:rFonts w:ascii="Sylfaen" w:hAnsi="Sylfaen"/>
                <w:b/>
                <w:bCs/>
                <w:color w:val="000000"/>
                <w:sz w:val="18"/>
                <w:szCs w:val="18"/>
              </w:rPr>
            </w:pPr>
            <w:r w:rsidRPr="00B07A10">
              <w:rPr>
                <w:rFonts w:ascii="Sylfaen" w:hAnsi="Sylfaen"/>
                <w:b/>
                <w:bCs/>
                <w:color w:val="000000"/>
                <w:sz w:val="18"/>
                <w:szCs w:val="18"/>
              </w:rPr>
              <w:t>t</w:t>
            </w:r>
          </w:p>
        </w:tc>
        <w:tc>
          <w:tcPr>
            <w:tcW w:w="801"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rFonts w:ascii="Sylfaen" w:hAnsi="Sylfaen"/>
                <w:b/>
                <w:bCs/>
                <w:color w:val="000000"/>
                <w:sz w:val="18"/>
                <w:szCs w:val="18"/>
              </w:rPr>
            </w:pPr>
            <w:r w:rsidRPr="00B07A10">
              <w:rPr>
                <w:rFonts w:ascii="Sylfaen" w:hAnsi="Sylfaen"/>
                <w:b/>
                <w:bCs/>
                <w:color w:val="000000"/>
                <w:sz w:val="18"/>
                <w:szCs w:val="18"/>
              </w:rPr>
              <w:t>t+1</w:t>
            </w:r>
          </w:p>
        </w:tc>
        <w:tc>
          <w:tcPr>
            <w:tcW w:w="717" w:type="dxa"/>
            <w:tcBorders>
              <w:top w:val="nil"/>
              <w:left w:val="nil"/>
              <w:bottom w:val="single" w:sz="8" w:space="0" w:color="auto"/>
              <w:right w:val="single" w:sz="4" w:space="0" w:color="auto"/>
            </w:tcBorders>
            <w:shd w:val="clear" w:color="000000" w:fill="FFFFFF"/>
            <w:vAlign w:val="center"/>
            <w:hideMark/>
          </w:tcPr>
          <w:p w:rsidR="00B07A10" w:rsidRPr="00B07A10" w:rsidRDefault="00B07A10" w:rsidP="00B07A10">
            <w:pPr>
              <w:jc w:val="center"/>
              <w:rPr>
                <w:rFonts w:ascii="Sylfaen" w:hAnsi="Sylfaen"/>
                <w:b/>
                <w:bCs/>
                <w:color w:val="000000"/>
                <w:sz w:val="18"/>
                <w:szCs w:val="18"/>
              </w:rPr>
            </w:pPr>
            <w:r w:rsidRPr="00B07A10">
              <w:rPr>
                <w:rFonts w:ascii="Sylfaen" w:hAnsi="Sylfaen"/>
                <w:b/>
                <w:bCs/>
                <w:color w:val="000000"/>
                <w:sz w:val="18"/>
                <w:szCs w:val="18"/>
              </w:rPr>
              <w:t>t+2</w:t>
            </w:r>
          </w:p>
        </w:tc>
      </w:tr>
      <w:tr w:rsidR="00B07A10" w:rsidRPr="007D4175" w:rsidTr="00B07A10">
        <w:trPr>
          <w:trHeight w:val="254"/>
        </w:trPr>
        <w:tc>
          <w:tcPr>
            <w:tcW w:w="1149" w:type="dxa"/>
            <w:tcBorders>
              <w:top w:val="nil"/>
              <w:left w:val="single" w:sz="4" w:space="0" w:color="auto"/>
              <w:bottom w:val="single" w:sz="8" w:space="0" w:color="auto"/>
              <w:right w:val="single" w:sz="8" w:space="0" w:color="FFFFFF"/>
            </w:tcBorders>
            <w:shd w:val="clear" w:color="000000" w:fill="FFFFFF"/>
            <w:vAlign w:val="center"/>
            <w:hideMark/>
          </w:tcPr>
          <w:p w:rsidR="00B07A10" w:rsidRPr="00B07A10" w:rsidRDefault="00B07A10" w:rsidP="00B07A10">
            <w:pPr>
              <w:jc w:val="both"/>
              <w:rPr>
                <w:b/>
                <w:bCs/>
                <w:color w:val="000000"/>
                <w:sz w:val="18"/>
                <w:szCs w:val="18"/>
              </w:rPr>
            </w:pPr>
            <w:r w:rsidRPr="00B07A10">
              <w:rPr>
                <w:b/>
                <w:bCs/>
                <w:color w:val="000000"/>
                <w:sz w:val="18"/>
                <w:szCs w:val="18"/>
              </w:rPr>
              <w:t>Russia</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0.6</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0.8</w:t>
            </w:r>
          </w:p>
        </w:tc>
        <w:tc>
          <w:tcPr>
            <w:tcW w:w="647" w:type="dxa"/>
            <w:tcBorders>
              <w:top w:val="nil"/>
              <w:left w:val="nil"/>
              <w:bottom w:val="single" w:sz="8" w:space="0" w:color="auto"/>
              <w:right w:val="single" w:sz="8" w:space="0" w:color="FFFFFF"/>
            </w:tcBorders>
            <w:shd w:val="clear" w:color="000000" w:fill="D9D9D9"/>
            <w:vAlign w:val="center"/>
            <w:hideMark/>
          </w:tcPr>
          <w:p w:rsidR="00B07A10" w:rsidRPr="00B07A10" w:rsidRDefault="00B07A10" w:rsidP="00B07A10">
            <w:pPr>
              <w:jc w:val="center"/>
              <w:rPr>
                <w:b/>
                <w:bCs/>
                <w:color w:val="000000"/>
                <w:sz w:val="18"/>
                <w:szCs w:val="18"/>
              </w:rPr>
            </w:pPr>
            <w:r w:rsidRPr="00B07A10">
              <w:rPr>
                <w:b/>
                <w:bCs/>
                <w:color w:val="000000"/>
                <w:sz w:val="18"/>
                <w:szCs w:val="18"/>
              </w:rPr>
              <w:t>0.88</w:t>
            </w:r>
          </w:p>
        </w:tc>
        <w:tc>
          <w:tcPr>
            <w:tcW w:w="801"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0.73</w:t>
            </w:r>
          </w:p>
        </w:tc>
        <w:tc>
          <w:tcPr>
            <w:tcW w:w="717" w:type="dxa"/>
            <w:tcBorders>
              <w:top w:val="nil"/>
              <w:left w:val="nil"/>
              <w:bottom w:val="single" w:sz="8" w:space="0" w:color="auto"/>
              <w:right w:val="single" w:sz="4" w:space="0" w:color="auto"/>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0.51</w:t>
            </w:r>
          </w:p>
        </w:tc>
      </w:tr>
      <w:tr w:rsidR="00B07A10" w:rsidRPr="007D4175" w:rsidTr="00B07A10">
        <w:trPr>
          <w:trHeight w:val="254"/>
        </w:trPr>
        <w:tc>
          <w:tcPr>
            <w:tcW w:w="1149" w:type="dxa"/>
            <w:tcBorders>
              <w:top w:val="nil"/>
              <w:left w:val="single" w:sz="4" w:space="0" w:color="auto"/>
              <w:bottom w:val="single" w:sz="8" w:space="0" w:color="auto"/>
              <w:right w:val="single" w:sz="8" w:space="0" w:color="FFFFFF"/>
            </w:tcBorders>
            <w:shd w:val="clear" w:color="000000" w:fill="FFFFFF"/>
            <w:vAlign w:val="center"/>
            <w:hideMark/>
          </w:tcPr>
          <w:p w:rsidR="00B07A10" w:rsidRPr="00B07A10" w:rsidRDefault="00B07A10" w:rsidP="00B07A10">
            <w:pPr>
              <w:jc w:val="both"/>
              <w:rPr>
                <w:b/>
                <w:bCs/>
                <w:color w:val="000000"/>
                <w:sz w:val="18"/>
                <w:szCs w:val="18"/>
              </w:rPr>
            </w:pPr>
            <w:r w:rsidRPr="00B07A10">
              <w:rPr>
                <w:b/>
                <w:bCs/>
                <w:color w:val="000000"/>
                <w:sz w:val="18"/>
                <w:szCs w:val="18"/>
              </w:rPr>
              <w:t>EU</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0.63</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b/>
                <w:bCs/>
                <w:color w:val="000000"/>
                <w:sz w:val="18"/>
                <w:szCs w:val="18"/>
              </w:rPr>
            </w:pPr>
            <w:r w:rsidRPr="00B07A10">
              <w:rPr>
                <w:b/>
                <w:bCs/>
                <w:color w:val="000000"/>
                <w:sz w:val="18"/>
                <w:szCs w:val="18"/>
              </w:rPr>
              <w:t>0.75</w:t>
            </w:r>
          </w:p>
        </w:tc>
        <w:tc>
          <w:tcPr>
            <w:tcW w:w="647" w:type="dxa"/>
            <w:tcBorders>
              <w:top w:val="nil"/>
              <w:left w:val="nil"/>
              <w:bottom w:val="single" w:sz="8" w:space="0" w:color="auto"/>
              <w:right w:val="single" w:sz="8" w:space="0" w:color="FFFFFF"/>
            </w:tcBorders>
            <w:shd w:val="clear" w:color="000000" w:fill="D9D9D9"/>
            <w:vAlign w:val="center"/>
            <w:hideMark/>
          </w:tcPr>
          <w:p w:rsidR="00B07A10" w:rsidRPr="00B07A10" w:rsidRDefault="00B07A10" w:rsidP="00B07A10">
            <w:pPr>
              <w:jc w:val="center"/>
              <w:rPr>
                <w:color w:val="000000"/>
                <w:sz w:val="18"/>
                <w:szCs w:val="18"/>
              </w:rPr>
            </w:pPr>
            <w:r w:rsidRPr="00B07A10">
              <w:rPr>
                <w:color w:val="000000"/>
                <w:sz w:val="18"/>
                <w:szCs w:val="18"/>
              </w:rPr>
              <w:t>0.74</w:t>
            </w:r>
          </w:p>
        </w:tc>
        <w:tc>
          <w:tcPr>
            <w:tcW w:w="801"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0.62</w:t>
            </w:r>
          </w:p>
        </w:tc>
        <w:tc>
          <w:tcPr>
            <w:tcW w:w="717" w:type="dxa"/>
            <w:tcBorders>
              <w:top w:val="nil"/>
              <w:left w:val="nil"/>
              <w:bottom w:val="single" w:sz="8" w:space="0" w:color="auto"/>
              <w:right w:val="single" w:sz="4" w:space="0" w:color="auto"/>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0.36</w:t>
            </w:r>
          </w:p>
        </w:tc>
      </w:tr>
      <w:tr w:rsidR="00B07A10" w:rsidRPr="007D4175" w:rsidTr="00B07A10">
        <w:trPr>
          <w:trHeight w:val="254"/>
        </w:trPr>
        <w:tc>
          <w:tcPr>
            <w:tcW w:w="1149" w:type="dxa"/>
            <w:tcBorders>
              <w:top w:val="nil"/>
              <w:left w:val="single" w:sz="4" w:space="0" w:color="auto"/>
              <w:bottom w:val="single" w:sz="8" w:space="0" w:color="auto"/>
              <w:right w:val="single" w:sz="8" w:space="0" w:color="FFFFFF"/>
            </w:tcBorders>
            <w:shd w:val="clear" w:color="000000" w:fill="FFFFFF"/>
            <w:vAlign w:val="center"/>
            <w:hideMark/>
          </w:tcPr>
          <w:p w:rsidR="00B07A10" w:rsidRPr="00B07A10" w:rsidRDefault="00B07A10" w:rsidP="00B07A10">
            <w:pPr>
              <w:jc w:val="both"/>
              <w:rPr>
                <w:b/>
                <w:bCs/>
                <w:color w:val="000000"/>
                <w:sz w:val="18"/>
                <w:szCs w:val="18"/>
              </w:rPr>
            </w:pPr>
            <w:r w:rsidRPr="00B07A10">
              <w:rPr>
                <w:b/>
                <w:bCs/>
                <w:color w:val="000000"/>
                <w:sz w:val="18"/>
                <w:szCs w:val="18"/>
              </w:rPr>
              <w:t>US</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0.62</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b/>
                <w:bCs/>
                <w:color w:val="000000"/>
                <w:sz w:val="18"/>
                <w:szCs w:val="18"/>
              </w:rPr>
            </w:pPr>
            <w:r w:rsidRPr="00B07A10">
              <w:rPr>
                <w:b/>
                <w:bCs/>
                <w:color w:val="000000"/>
                <w:sz w:val="18"/>
                <w:szCs w:val="18"/>
              </w:rPr>
              <w:t>0.69</w:t>
            </w:r>
          </w:p>
        </w:tc>
        <w:tc>
          <w:tcPr>
            <w:tcW w:w="647" w:type="dxa"/>
            <w:tcBorders>
              <w:top w:val="nil"/>
              <w:left w:val="nil"/>
              <w:bottom w:val="single" w:sz="8" w:space="0" w:color="auto"/>
              <w:right w:val="single" w:sz="8" w:space="0" w:color="FFFFFF"/>
            </w:tcBorders>
            <w:shd w:val="clear" w:color="000000" w:fill="D9D9D9"/>
            <w:vAlign w:val="center"/>
            <w:hideMark/>
          </w:tcPr>
          <w:p w:rsidR="00B07A10" w:rsidRPr="00B07A10" w:rsidRDefault="00B07A10" w:rsidP="00B07A10">
            <w:pPr>
              <w:jc w:val="center"/>
              <w:rPr>
                <w:color w:val="000000"/>
                <w:sz w:val="18"/>
                <w:szCs w:val="18"/>
              </w:rPr>
            </w:pPr>
            <w:r w:rsidRPr="00B07A10">
              <w:rPr>
                <w:color w:val="000000"/>
                <w:sz w:val="18"/>
                <w:szCs w:val="18"/>
              </w:rPr>
              <w:t>0.67</w:t>
            </w:r>
          </w:p>
        </w:tc>
        <w:tc>
          <w:tcPr>
            <w:tcW w:w="801"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0.48</w:t>
            </w:r>
          </w:p>
        </w:tc>
        <w:tc>
          <w:tcPr>
            <w:tcW w:w="717" w:type="dxa"/>
            <w:tcBorders>
              <w:top w:val="nil"/>
              <w:left w:val="nil"/>
              <w:bottom w:val="single" w:sz="8" w:space="0" w:color="auto"/>
              <w:right w:val="single" w:sz="4" w:space="0" w:color="auto"/>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0.29</w:t>
            </w:r>
          </w:p>
        </w:tc>
      </w:tr>
      <w:tr w:rsidR="00B07A10" w:rsidRPr="007D4175" w:rsidTr="00B07A10">
        <w:trPr>
          <w:trHeight w:val="482"/>
        </w:trPr>
        <w:tc>
          <w:tcPr>
            <w:tcW w:w="1149" w:type="dxa"/>
            <w:tcBorders>
              <w:top w:val="nil"/>
              <w:left w:val="single" w:sz="4" w:space="0" w:color="auto"/>
              <w:bottom w:val="single" w:sz="8" w:space="0" w:color="auto"/>
              <w:right w:val="single" w:sz="8" w:space="0" w:color="FFFFFF"/>
            </w:tcBorders>
            <w:shd w:val="clear" w:color="000000" w:fill="FFFFFF"/>
            <w:vAlign w:val="center"/>
            <w:hideMark/>
          </w:tcPr>
          <w:p w:rsidR="00B07A10" w:rsidRPr="00B07A10" w:rsidRDefault="00B07A10" w:rsidP="00B07A10">
            <w:pPr>
              <w:jc w:val="both"/>
              <w:rPr>
                <w:b/>
                <w:bCs/>
                <w:color w:val="000000"/>
                <w:sz w:val="18"/>
                <w:szCs w:val="18"/>
              </w:rPr>
            </w:pPr>
            <w:r w:rsidRPr="00B07A10">
              <w:rPr>
                <w:b/>
                <w:bCs/>
                <w:color w:val="000000"/>
                <w:sz w:val="18"/>
                <w:szCs w:val="18"/>
              </w:rPr>
              <w:t>World</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0.61</w:t>
            </w:r>
          </w:p>
        </w:tc>
        <w:tc>
          <w:tcPr>
            <w:tcW w:w="647"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0.78</w:t>
            </w:r>
          </w:p>
        </w:tc>
        <w:tc>
          <w:tcPr>
            <w:tcW w:w="647" w:type="dxa"/>
            <w:tcBorders>
              <w:top w:val="nil"/>
              <w:left w:val="nil"/>
              <w:bottom w:val="single" w:sz="8" w:space="0" w:color="auto"/>
              <w:right w:val="single" w:sz="8" w:space="0" w:color="FFFFFF"/>
            </w:tcBorders>
            <w:shd w:val="clear" w:color="000000" w:fill="D9D9D9"/>
            <w:vAlign w:val="center"/>
            <w:hideMark/>
          </w:tcPr>
          <w:p w:rsidR="00B07A10" w:rsidRPr="00B07A10" w:rsidRDefault="00B07A10" w:rsidP="00B07A10">
            <w:pPr>
              <w:jc w:val="center"/>
              <w:rPr>
                <w:b/>
                <w:bCs/>
                <w:color w:val="000000"/>
                <w:sz w:val="18"/>
                <w:szCs w:val="18"/>
              </w:rPr>
            </w:pPr>
            <w:r w:rsidRPr="00B07A10">
              <w:rPr>
                <w:b/>
                <w:bCs/>
                <w:color w:val="000000"/>
                <w:sz w:val="18"/>
                <w:szCs w:val="18"/>
              </w:rPr>
              <w:t>0.81</w:t>
            </w:r>
          </w:p>
        </w:tc>
        <w:tc>
          <w:tcPr>
            <w:tcW w:w="801" w:type="dxa"/>
            <w:tcBorders>
              <w:top w:val="nil"/>
              <w:left w:val="nil"/>
              <w:bottom w:val="single" w:sz="8" w:space="0" w:color="auto"/>
              <w:right w:val="single" w:sz="8" w:space="0" w:color="FFFFFF"/>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0.66</w:t>
            </w:r>
          </w:p>
        </w:tc>
        <w:tc>
          <w:tcPr>
            <w:tcW w:w="717" w:type="dxa"/>
            <w:tcBorders>
              <w:top w:val="nil"/>
              <w:left w:val="nil"/>
              <w:bottom w:val="single" w:sz="8" w:space="0" w:color="auto"/>
              <w:right w:val="single" w:sz="4" w:space="0" w:color="auto"/>
            </w:tcBorders>
            <w:shd w:val="clear" w:color="000000" w:fill="FFFFFF"/>
            <w:vAlign w:val="center"/>
            <w:hideMark/>
          </w:tcPr>
          <w:p w:rsidR="00B07A10" w:rsidRPr="00B07A10" w:rsidRDefault="00B07A10" w:rsidP="00B07A10">
            <w:pPr>
              <w:jc w:val="center"/>
              <w:rPr>
                <w:color w:val="000000"/>
                <w:sz w:val="18"/>
                <w:szCs w:val="18"/>
              </w:rPr>
            </w:pPr>
            <w:r w:rsidRPr="00B07A10">
              <w:rPr>
                <w:color w:val="000000"/>
                <w:sz w:val="18"/>
                <w:szCs w:val="18"/>
              </w:rPr>
              <w:t>0.39</w:t>
            </w:r>
          </w:p>
        </w:tc>
      </w:tr>
      <w:tr w:rsidR="00B07A10" w:rsidRPr="007D4175" w:rsidTr="00B07A10">
        <w:trPr>
          <w:trHeight w:val="246"/>
        </w:trPr>
        <w:tc>
          <w:tcPr>
            <w:tcW w:w="4608" w:type="dxa"/>
            <w:gridSpan w:val="6"/>
            <w:tcBorders>
              <w:top w:val="single" w:sz="8" w:space="0" w:color="auto"/>
              <w:left w:val="single" w:sz="4" w:space="0" w:color="auto"/>
              <w:bottom w:val="nil"/>
              <w:right w:val="single" w:sz="4" w:space="0" w:color="auto"/>
            </w:tcBorders>
            <w:shd w:val="clear" w:color="000000" w:fill="FFFFFF"/>
            <w:vAlign w:val="center"/>
            <w:hideMark/>
          </w:tcPr>
          <w:p w:rsidR="00B07A10" w:rsidRPr="00B07A10" w:rsidRDefault="00B07A10" w:rsidP="00B07A10">
            <w:pPr>
              <w:rPr>
                <w:color w:val="000000"/>
                <w:sz w:val="18"/>
                <w:szCs w:val="18"/>
              </w:rPr>
            </w:pPr>
            <w:r w:rsidRPr="00B07A10">
              <w:rPr>
                <w:color w:val="000000"/>
                <w:sz w:val="18"/>
                <w:szCs w:val="18"/>
              </w:rPr>
              <w:t>Source: Authors’ calculations.</w:t>
            </w:r>
          </w:p>
        </w:tc>
      </w:tr>
      <w:tr w:rsidR="00B07A10" w:rsidRPr="007D4175" w:rsidTr="00B07A10">
        <w:trPr>
          <w:trHeight w:val="298"/>
        </w:trPr>
        <w:tc>
          <w:tcPr>
            <w:tcW w:w="4608" w:type="dxa"/>
            <w:gridSpan w:val="6"/>
            <w:tcBorders>
              <w:top w:val="nil"/>
              <w:left w:val="single" w:sz="4" w:space="0" w:color="auto"/>
              <w:bottom w:val="single" w:sz="4" w:space="0" w:color="auto"/>
              <w:right w:val="single" w:sz="4" w:space="0" w:color="auto"/>
            </w:tcBorders>
            <w:shd w:val="clear" w:color="000000" w:fill="FFFFFF"/>
            <w:vAlign w:val="center"/>
            <w:hideMark/>
          </w:tcPr>
          <w:p w:rsidR="00B07A10" w:rsidRPr="00B07A10" w:rsidRDefault="00B07A10" w:rsidP="00B07A10">
            <w:pPr>
              <w:rPr>
                <w:b/>
                <w:bCs/>
                <w:color w:val="000000"/>
                <w:sz w:val="18"/>
                <w:szCs w:val="18"/>
              </w:rPr>
            </w:pPr>
            <w:r w:rsidRPr="00B07A10">
              <w:rPr>
                <w:b/>
                <w:bCs/>
                <w:color w:val="000000"/>
                <w:sz w:val="18"/>
                <w:szCs w:val="18"/>
                <w:vertAlign w:val="superscript"/>
              </w:rPr>
              <w:t>1</w:t>
            </w:r>
            <w:r w:rsidRPr="00B07A10">
              <w:rPr>
                <w:color w:val="000000"/>
                <w:sz w:val="18"/>
                <w:szCs w:val="18"/>
              </w:rPr>
              <w:t xml:space="preserve"> Figures in bold denote the highest correlation for each row.</w:t>
            </w:r>
          </w:p>
        </w:tc>
      </w:tr>
    </w:tbl>
    <w:p w:rsidR="007D4175" w:rsidRDefault="007D4175" w:rsidP="006F2E71">
      <w:pPr>
        <w:rPr>
          <w:szCs w:val="24"/>
        </w:rPr>
      </w:pPr>
    </w:p>
    <w:p w:rsidR="00341CA8" w:rsidRDefault="002D4249" w:rsidP="002D4249">
      <w:pPr>
        <w:tabs>
          <w:tab w:val="left" w:pos="0"/>
          <w:tab w:val="left" w:pos="360"/>
        </w:tabs>
        <w:autoSpaceDE w:val="0"/>
        <w:autoSpaceDN w:val="0"/>
        <w:adjustRightInd w:val="0"/>
        <w:spacing w:after="120"/>
        <w:rPr>
          <w:szCs w:val="24"/>
        </w:rPr>
      </w:pPr>
      <w:r w:rsidRPr="00922244">
        <w:rPr>
          <w:szCs w:val="24"/>
        </w:rPr>
        <w:t xml:space="preserve">As a result, </w:t>
      </w:r>
      <w:r w:rsidR="00BD5010">
        <w:rPr>
          <w:szCs w:val="24"/>
        </w:rPr>
        <w:t xml:space="preserve">economic </w:t>
      </w:r>
      <w:r w:rsidRPr="00922244">
        <w:rPr>
          <w:szCs w:val="24"/>
        </w:rPr>
        <w:t xml:space="preserve">activity </w:t>
      </w:r>
      <w:r w:rsidR="00145D6F">
        <w:rPr>
          <w:szCs w:val="24"/>
        </w:rPr>
        <w:t xml:space="preserve">in Armenia </w:t>
      </w:r>
      <w:r w:rsidRPr="00922244">
        <w:rPr>
          <w:szCs w:val="24"/>
        </w:rPr>
        <w:t>usually display</w:t>
      </w:r>
      <w:r w:rsidR="00145D6F">
        <w:rPr>
          <w:szCs w:val="24"/>
        </w:rPr>
        <w:t>s</w:t>
      </w:r>
      <w:r w:rsidRPr="00922244">
        <w:rPr>
          <w:szCs w:val="24"/>
        </w:rPr>
        <w:t xml:space="preserve"> strong co-movement with global activity and </w:t>
      </w:r>
      <w:r w:rsidR="00145D6F">
        <w:rPr>
          <w:szCs w:val="24"/>
        </w:rPr>
        <w:t xml:space="preserve">with </w:t>
      </w:r>
      <w:r w:rsidRPr="00922244">
        <w:rPr>
          <w:szCs w:val="24"/>
        </w:rPr>
        <w:t xml:space="preserve">the activity of </w:t>
      </w:r>
      <w:r w:rsidR="00145D6F">
        <w:rPr>
          <w:szCs w:val="24"/>
        </w:rPr>
        <w:t xml:space="preserve">its </w:t>
      </w:r>
      <w:r w:rsidRPr="00922244">
        <w:rPr>
          <w:szCs w:val="24"/>
        </w:rPr>
        <w:t xml:space="preserve">main trading partners, including Russia, </w:t>
      </w:r>
      <w:r w:rsidR="00145D6F">
        <w:rPr>
          <w:szCs w:val="24"/>
        </w:rPr>
        <w:t xml:space="preserve">the </w:t>
      </w:r>
      <w:r w:rsidRPr="00922244">
        <w:rPr>
          <w:szCs w:val="24"/>
        </w:rPr>
        <w:t xml:space="preserve">EU and </w:t>
      </w:r>
      <w:r w:rsidR="00145D6F">
        <w:rPr>
          <w:szCs w:val="24"/>
        </w:rPr>
        <w:t xml:space="preserve">the </w:t>
      </w:r>
      <w:r w:rsidRPr="00922244">
        <w:rPr>
          <w:szCs w:val="24"/>
        </w:rPr>
        <w:t>U</w:t>
      </w:r>
      <w:r w:rsidR="00145D6F">
        <w:rPr>
          <w:szCs w:val="24"/>
        </w:rPr>
        <w:t>.</w:t>
      </w:r>
      <w:r w:rsidRPr="00922244">
        <w:rPr>
          <w:szCs w:val="24"/>
        </w:rPr>
        <w:t xml:space="preserve">S. Figure 1 </w:t>
      </w:r>
      <w:r w:rsidR="00145D6F">
        <w:rPr>
          <w:szCs w:val="24"/>
        </w:rPr>
        <w:t xml:space="preserve">and Table 2 </w:t>
      </w:r>
      <w:r w:rsidR="00145D6F" w:rsidRPr="00922244">
        <w:rPr>
          <w:szCs w:val="24"/>
        </w:rPr>
        <w:t>show</w:t>
      </w:r>
      <w:r w:rsidR="00145D6F">
        <w:rPr>
          <w:szCs w:val="24"/>
        </w:rPr>
        <w:t xml:space="preserve"> </w:t>
      </w:r>
      <w:r w:rsidRPr="00922244">
        <w:rPr>
          <w:szCs w:val="24"/>
        </w:rPr>
        <w:t>that the correlation coefficients between annual GDP growth in Armenia and in trading partner</w:t>
      </w:r>
      <w:r w:rsidR="00BD5010">
        <w:rPr>
          <w:szCs w:val="24"/>
        </w:rPr>
        <w:t>s</w:t>
      </w:r>
      <w:r w:rsidRPr="00922244">
        <w:rPr>
          <w:szCs w:val="24"/>
        </w:rPr>
        <w:t xml:space="preserve"> </w:t>
      </w:r>
      <w:r w:rsidR="00BD5010">
        <w:rPr>
          <w:szCs w:val="24"/>
        </w:rPr>
        <w:t xml:space="preserve">is </w:t>
      </w:r>
      <w:r w:rsidRPr="00922244">
        <w:rPr>
          <w:szCs w:val="24"/>
        </w:rPr>
        <w:t xml:space="preserve">high, and consistent with world shocks having a material influence on Armenia. </w:t>
      </w:r>
    </w:p>
    <w:p w:rsidR="00341CA8" w:rsidRPr="002B1942" w:rsidRDefault="00702A67" w:rsidP="00341CA8">
      <w:pPr>
        <w:tabs>
          <w:tab w:val="left" w:pos="0"/>
          <w:tab w:val="left" w:pos="360"/>
        </w:tabs>
        <w:autoSpaceDE w:val="0"/>
        <w:autoSpaceDN w:val="0"/>
        <w:adjustRightInd w:val="0"/>
        <w:spacing w:after="120"/>
        <w:jc w:val="center"/>
        <w:rPr>
          <w:b/>
          <w:sz w:val="20"/>
        </w:rPr>
      </w:pPr>
      <w:r>
        <w:rPr>
          <w:b/>
          <w:noProof/>
          <w:sz w:val="20"/>
        </w:rPr>
        <w:lastRenderedPageBreak/>
        <w:drawing>
          <wp:anchor distT="0" distB="0" distL="114300" distR="114300" simplePos="0" relativeHeight="251667456" behindDoc="1" locked="0" layoutInCell="1" allowOverlap="1">
            <wp:simplePos x="0" y="0"/>
            <wp:positionH relativeFrom="column">
              <wp:posOffset>55880</wp:posOffset>
            </wp:positionH>
            <wp:positionV relativeFrom="paragraph">
              <wp:posOffset>204470</wp:posOffset>
            </wp:positionV>
            <wp:extent cx="5716270" cy="1972310"/>
            <wp:effectExtent l="19050" t="19050" r="17780" b="27940"/>
            <wp:wrapTight wrapText="bothSides">
              <wp:wrapPolygon edited="0">
                <wp:start x="-72" y="-209"/>
                <wp:lineTo x="-72" y="21906"/>
                <wp:lineTo x="21667" y="21906"/>
                <wp:lineTo x="21667" y="-209"/>
                <wp:lineTo x="-72" y="-20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16270" cy="1972310"/>
                    </a:xfrm>
                    <a:prstGeom prst="rect">
                      <a:avLst/>
                    </a:prstGeom>
                    <a:noFill/>
                    <a:ln w="3175">
                      <a:solidFill>
                        <a:sysClr val="windowText" lastClr="000000"/>
                      </a:solidFill>
                      <a:miter lim="800000"/>
                      <a:headEnd/>
                      <a:tailEnd/>
                    </a:ln>
                  </pic:spPr>
                </pic:pic>
              </a:graphicData>
            </a:graphic>
          </wp:anchor>
        </w:drawing>
      </w:r>
      <w:r w:rsidR="00341CA8" w:rsidRPr="002B1942">
        <w:rPr>
          <w:b/>
          <w:sz w:val="20"/>
        </w:rPr>
        <w:t>Figure 1:</w:t>
      </w:r>
      <w:r w:rsidR="00341CA8">
        <w:rPr>
          <w:b/>
          <w:sz w:val="20"/>
        </w:rPr>
        <w:t xml:space="preserve"> </w:t>
      </w:r>
      <w:r w:rsidR="00BB08FA">
        <w:rPr>
          <w:b/>
          <w:sz w:val="20"/>
        </w:rPr>
        <w:t xml:space="preserve">Real GDP growth (yoy) in </w:t>
      </w:r>
      <w:r w:rsidR="00341CA8">
        <w:rPr>
          <w:b/>
          <w:sz w:val="20"/>
        </w:rPr>
        <w:t>Armenia</w:t>
      </w:r>
      <w:r w:rsidR="00BB08FA">
        <w:rPr>
          <w:b/>
          <w:sz w:val="20"/>
        </w:rPr>
        <w:t>, Key T</w:t>
      </w:r>
      <w:r w:rsidR="00341CA8">
        <w:rPr>
          <w:b/>
          <w:sz w:val="20"/>
        </w:rPr>
        <w:t xml:space="preserve">rading </w:t>
      </w:r>
      <w:r w:rsidR="00BB08FA">
        <w:rPr>
          <w:b/>
          <w:sz w:val="20"/>
        </w:rPr>
        <w:t>P</w:t>
      </w:r>
      <w:r w:rsidR="00341CA8">
        <w:rPr>
          <w:b/>
          <w:sz w:val="20"/>
        </w:rPr>
        <w:t>artner</w:t>
      </w:r>
      <w:r w:rsidR="00BB08FA">
        <w:rPr>
          <w:b/>
          <w:sz w:val="20"/>
        </w:rPr>
        <w:t xml:space="preserve">s, and the </w:t>
      </w:r>
      <w:r w:rsidR="00341CA8">
        <w:rPr>
          <w:b/>
          <w:sz w:val="20"/>
        </w:rPr>
        <w:t>World GDP</w:t>
      </w:r>
    </w:p>
    <w:p w:rsidR="00702A67" w:rsidRDefault="00BC129A" w:rsidP="00702A67">
      <w:pPr>
        <w:tabs>
          <w:tab w:val="left" w:pos="0"/>
          <w:tab w:val="left" w:pos="360"/>
        </w:tabs>
        <w:autoSpaceDE w:val="0"/>
        <w:autoSpaceDN w:val="0"/>
        <w:adjustRightInd w:val="0"/>
        <w:spacing w:after="120"/>
        <w:rPr>
          <w:szCs w:val="24"/>
        </w:rPr>
      </w:pPr>
      <w:r>
        <w:rPr>
          <w:noProof/>
          <w:szCs w:val="24"/>
        </w:rPr>
        <mc:AlternateContent>
          <mc:Choice Requires="wps">
            <w:drawing>
              <wp:anchor distT="0" distB="0" distL="114300" distR="114300" simplePos="0" relativeHeight="251665408" behindDoc="0" locked="0" layoutInCell="1" allowOverlap="1">
                <wp:simplePos x="0" y="0"/>
                <wp:positionH relativeFrom="column">
                  <wp:posOffset>109220</wp:posOffset>
                </wp:positionH>
                <wp:positionV relativeFrom="paragraph">
                  <wp:posOffset>-92075</wp:posOffset>
                </wp:positionV>
                <wp:extent cx="3534410" cy="243840"/>
                <wp:effectExtent l="0" t="0" r="8890" b="3810"/>
                <wp:wrapSquare wrapText="bothSides"/>
                <wp:docPr id="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4410" cy="243840"/>
                        </a:xfrm>
                        <a:prstGeom prst="rect">
                          <a:avLst/>
                        </a:prstGeom>
                        <a:solidFill>
                          <a:sysClr val="window" lastClr="FFFFFF"/>
                        </a:solidFill>
                        <a:ln w="25400" cap="flat" cmpd="sng" algn="ctr">
                          <a:noFill/>
                          <a:prstDash val="solid"/>
                        </a:ln>
                        <a:effectLst/>
                      </wps:spPr>
                      <wps:txbx>
                        <w:txbxContent>
                          <w:p w:rsidR="001D338C" w:rsidRPr="007D4A02" w:rsidRDefault="001D338C" w:rsidP="00341CA8">
                            <w:pPr>
                              <w:pStyle w:val="NormalWeb"/>
                              <w:spacing w:before="0" w:beforeAutospacing="0" w:after="0" w:afterAutospacing="0"/>
                              <w:rPr>
                                <w:sz w:val="18"/>
                                <w:szCs w:val="18"/>
                              </w:rPr>
                            </w:pPr>
                            <w:r w:rsidRPr="007D4A02">
                              <w:rPr>
                                <w:color w:val="000000"/>
                                <w:sz w:val="18"/>
                                <w:szCs w:val="18"/>
                              </w:rPr>
                              <w:t xml:space="preserve">Source: </w:t>
                            </w:r>
                            <w:r>
                              <w:rPr>
                                <w:color w:val="000000"/>
                                <w:sz w:val="18"/>
                                <w:szCs w:val="18"/>
                              </w:rPr>
                              <w:t>Countries’ s</w:t>
                            </w:r>
                            <w:r w:rsidRPr="007D4A02">
                              <w:rPr>
                                <w:color w:val="000000"/>
                                <w:sz w:val="18"/>
                                <w:szCs w:val="18"/>
                              </w:rPr>
                              <w:t xml:space="preserve">tatistical </w:t>
                            </w:r>
                            <w:r>
                              <w:rPr>
                                <w:color w:val="000000"/>
                                <w:sz w:val="18"/>
                                <w:szCs w:val="18"/>
                              </w:rPr>
                              <w:t>s</w:t>
                            </w:r>
                            <w:r w:rsidRPr="007D4A02">
                              <w:rPr>
                                <w:color w:val="000000"/>
                                <w:sz w:val="18"/>
                                <w:szCs w:val="18"/>
                              </w:rPr>
                              <w:t>ervices and</w:t>
                            </w:r>
                            <w:r>
                              <w:rPr>
                                <w:color w:val="000000"/>
                                <w:sz w:val="18"/>
                                <w:szCs w:val="18"/>
                              </w:rPr>
                              <w:t xml:space="preserve"> </w:t>
                            </w:r>
                            <w:r w:rsidRPr="007D4A02">
                              <w:rPr>
                                <w:color w:val="000000"/>
                                <w:sz w:val="18"/>
                                <w:szCs w:val="18"/>
                              </w:rPr>
                              <w:t>authors’ calculations.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6pt;margin-top:-7.25pt;width:278.3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" fillcolor="window" stroked="f" strokeweight="2pt">
                <v:path arrowok="t"/>
                <v:textbox>
                  <w:txbxContent>
                    <w:p w:rsidR="001D338C" w:rsidRPr="007D4A02" w:rsidRDefault="001D338C" w:rsidP="00341CA8">
                      <w:pPr>
                        <w:pStyle w:val="NormalWeb"/>
                        <w:spacing w:before="0" w:beforeAutospacing="0" w:after="0" w:afterAutospacing="0"/>
                        <w:rPr>
                          <w:sz w:val="18"/>
                          <w:szCs w:val="18"/>
                        </w:rPr>
                      </w:pPr>
                      <w:r w:rsidRPr="007D4A02">
                        <w:rPr>
                          <w:color w:val="000000"/>
                          <w:sz w:val="18"/>
                          <w:szCs w:val="18"/>
                        </w:rPr>
                        <w:t xml:space="preserve">Source: </w:t>
                      </w:r>
                      <w:r>
                        <w:rPr>
                          <w:color w:val="000000"/>
                          <w:sz w:val="18"/>
                          <w:szCs w:val="18"/>
                        </w:rPr>
                        <w:t>Countries’ s</w:t>
                      </w:r>
                      <w:r w:rsidRPr="007D4A02">
                        <w:rPr>
                          <w:color w:val="000000"/>
                          <w:sz w:val="18"/>
                          <w:szCs w:val="18"/>
                        </w:rPr>
                        <w:t xml:space="preserve">tatistical </w:t>
                      </w:r>
                      <w:r>
                        <w:rPr>
                          <w:color w:val="000000"/>
                          <w:sz w:val="18"/>
                          <w:szCs w:val="18"/>
                        </w:rPr>
                        <w:t>s</w:t>
                      </w:r>
                      <w:r w:rsidRPr="007D4A02">
                        <w:rPr>
                          <w:color w:val="000000"/>
                          <w:sz w:val="18"/>
                          <w:szCs w:val="18"/>
                        </w:rPr>
                        <w:t>ervices and</w:t>
                      </w:r>
                      <w:r>
                        <w:rPr>
                          <w:color w:val="000000"/>
                          <w:sz w:val="18"/>
                          <w:szCs w:val="18"/>
                        </w:rPr>
                        <w:t xml:space="preserve"> </w:t>
                      </w:r>
                      <w:r w:rsidRPr="007D4A02">
                        <w:rPr>
                          <w:color w:val="000000"/>
                          <w:sz w:val="18"/>
                          <w:szCs w:val="18"/>
                        </w:rPr>
                        <w:t>authors’ calculations.</w:t>
                      </w:r>
                    </w:p>
                  </w:txbxContent>
                </v:textbox>
                <w10:wrap type="square"/>
              </v:rect>
            </w:pict>
          </mc:Fallback>
        </mc:AlternateContent>
      </w:r>
      <w:r w:rsidR="00702A67" w:rsidRPr="00702A67">
        <w:rPr>
          <w:szCs w:val="24"/>
        </w:rPr>
        <w:t xml:space="preserve"> </w:t>
      </w:r>
    </w:p>
    <w:p w:rsidR="002D4249" w:rsidRDefault="00F86B29" w:rsidP="002D4249">
      <w:pPr>
        <w:tabs>
          <w:tab w:val="left" w:pos="0"/>
        </w:tabs>
        <w:autoSpaceDE w:val="0"/>
        <w:autoSpaceDN w:val="0"/>
        <w:adjustRightInd w:val="0"/>
        <w:spacing w:after="120"/>
        <w:rPr>
          <w:color w:val="FF0000"/>
          <w:szCs w:val="24"/>
        </w:rPr>
      </w:pPr>
      <w:r>
        <w:rPr>
          <w:rFonts w:ascii="GHEA Grapalat" w:hAnsi="GHEA Grapalat"/>
          <w:noProof/>
          <w:sz w:val="22"/>
          <w:szCs w:val="22"/>
        </w:rPr>
        <w:drawing>
          <wp:anchor distT="0" distB="0" distL="114300" distR="114300" simplePos="0" relativeHeight="251659264" behindDoc="1" locked="0" layoutInCell="1" allowOverlap="1">
            <wp:simplePos x="0" y="0"/>
            <wp:positionH relativeFrom="column">
              <wp:posOffset>2821940</wp:posOffset>
            </wp:positionH>
            <wp:positionV relativeFrom="paragraph">
              <wp:posOffset>2504440</wp:posOffset>
            </wp:positionV>
            <wp:extent cx="2644140" cy="2289175"/>
            <wp:effectExtent l="19050" t="19050" r="22860" b="15875"/>
            <wp:wrapTight wrapText="bothSides">
              <wp:wrapPolygon edited="0">
                <wp:start x="-156" y="-180"/>
                <wp:lineTo x="-156" y="21750"/>
                <wp:lineTo x="21787" y="21750"/>
                <wp:lineTo x="21787" y="-180"/>
                <wp:lineTo x="-156" y="-18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644140" cy="2289175"/>
                    </a:xfrm>
                    <a:prstGeom prst="rect">
                      <a:avLst/>
                    </a:prstGeom>
                    <a:noFill/>
                    <a:ln w="3175">
                      <a:solidFill>
                        <a:schemeClr val="tx1"/>
                      </a:solidFill>
                      <a:miter lim="800000"/>
                      <a:headEnd/>
                      <a:tailEnd/>
                    </a:ln>
                  </pic:spPr>
                </pic:pic>
              </a:graphicData>
            </a:graphic>
          </wp:anchor>
        </w:drawing>
      </w:r>
      <w:r w:rsidR="00BC129A">
        <w:rPr>
          <w:rFonts w:ascii="GHEA Grapalat" w:hAnsi="GHEA Grapalat"/>
          <w:noProof/>
          <w:sz w:val="22"/>
          <w:szCs w:val="22"/>
        </w:rPr>
        <mc:AlternateContent>
          <mc:Choice Requires="wps">
            <w:drawing>
              <wp:anchor distT="0" distB="0" distL="114300" distR="114300" simplePos="0" relativeHeight="251657216" behindDoc="0" locked="0" layoutInCell="1" allowOverlap="1">
                <wp:simplePos x="0" y="0"/>
                <wp:positionH relativeFrom="column">
                  <wp:posOffset>2849880</wp:posOffset>
                </wp:positionH>
                <wp:positionV relativeFrom="paragraph">
                  <wp:posOffset>2217420</wp:posOffset>
                </wp:positionV>
                <wp:extent cx="2763520" cy="202565"/>
                <wp:effectExtent l="0" t="0" r="0" b="6985"/>
                <wp:wrapSquare wrapText="bothSides"/>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520" cy="202565"/>
                        </a:xfrm>
                        <a:prstGeom prst="rect">
                          <a:avLst/>
                        </a:prstGeom>
                        <a:solidFill>
                          <a:sysClr val="window" lastClr="FFFFFF"/>
                        </a:solidFill>
                        <a:ln w="25400" cap="flat" cmpd="sng" algn="ctr">
                          <a:noFill/>
                          <a:prstDash val="solid"/>
                        </a:ln>
                        <a:effectLst/>
                      </wps:spPr>
                      <wps:style>
                        <a:lnRef idx="2">
                          <a:schemeClr val="accent6"/>
                        </a:lnRef>
                        <a:fillRef idx="1">
                          <a:schemeClr val="lt1"/>
                        </a:fillRef>
                        <a:effectRef idx="0">
                          <a:schemeClr val="accent6"/>
                        </a:effectRef>
                        <a:fontRef idx="minor">
                          <a:schemeClr val="dk1"/>
                        </a:fontRef>
                      </wps:style>
                      <wps:txbx>
                        <w:txbxContent>
                          <w:p w:rsidR="001D338C" w:rsidRDefault="001D338C" w:rsidP="002D4249">
                            <w:pPr>
                              <w:pStyle w:val="NormalWeb"/>
                              <w:spacing w:before="0" w:beforeAutospacing="0" w:after="0" w:afterAutospacing="0"/>
                            </w:pPr>
                            <w:r w:rsidRPr="006264A5">
                              <w:rPr>
                                <w:color w:val="000000"/>
                                <w:sz w:val="18"/>
                                <w:szCs w:val="18"/>
                              </w:rPr>
                              <w:t xml:space="preserve">Source: </w:t>
                            </w:r>
                            <w:r>
                              <w:rPr>
                                <w:color w:val="000000"/>
                                <w:sz w:val="18"/>
                                <w:szCs w:val="18"/>
                              </w:rPr>
                              <w:t>IMF.</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24.4pt;margin-top:174.6pt;width:217.6pt;height:1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" fillcolor="window" stroked="f" strokeweight="2pt">
                <v:path arrowok="t"/>
                <v:textbox>
                  <w:txbxContent>
                    <w:p w:rsidR="001D338C" w:rsidRDefault="001D338C" w:rsidP="002D4249">
                      <w:pPr>
                        <w:pStyle w:val="NormalWeb"/>
                        <w:spacing w:before="0" w:beforeAutospacing="0" w:after="0" w:afterAutospacing="0"/>
                      </w:pPr>
                      <w:r w:rsidRPr="006264A5">
                        <w:rPr>
                          <w:color w:val="000000"/>
                          <w:sz w:val="18"/>
                          <w:szCs w:val="18"/>
                        </w:rPr>
                        <w:t xml:space="preserve">Source: </w:t>
                      </w:r>
                      <w:r>
                        <w:rPr>
                          <w:color w:val="000000"/>
                          <w:sz w:val="18"/>
                          <w:szCs w:val="18"/>
                        </w:rPr>
                        <w:t>IMF.</w:t>
                      </w:r>
                    </w:p>
                  </w:txbxContent>
                </v:textbox>
                <w10:wrap type="square"/>
              </v:rect>
            </w:pict>
          </mc:Fallback>
        </mc:AlternateContent>
      </w:r>
      <w:r w:rsidR="00B56701">
        <w:rPr>
          <w:rFonts w:ascii="GHEA Grapalat" w:hAnsi="GHEA Grapalat"/>
          <w:noProof/>
          <w:sz w:val="22"/>
          <w:szCs w:val="22"/>
        </w:rPr>
        <w:drawing>
          <wp:anchor distT="0" distB="0" distL="114300" distR="114300" simplePos="0" relativeHeight="251655168" behindDoc="0" locked="0" layoutInCell="1" allowOverlap="1">
            <wp:simplePos x="0" y="0"/>
            <wp:positionH relativeFrom="column">
              <wp:posOffset>2821940</wp:posOffset>
            </wp:positionH>
            <wp:positionV relativeFrom="paragraph">
              <wp:posOffset>146050</wp:posOffset>
            </wp:positionV>
            <wp:extent cx="2616835" cy="1956435"/>
            <wp:effectExtent l="19050" t="0" r="12065" b="571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2D4249" w:rsidRPr="00922244">
        <w:rPr>
          <w:szCs w:val="24"/>
        </w:rPr>
        <w:t xml:space="preserve">Recent global and regional events have </w:t>
      </w:r>
      <w:r w:rsidR="00145D6F">
        <w:rPr>
          <w:szCs w:val="24"/>
        </w:rPr>
        <w:t>demonstrated</w:t>
      </w:r>
      <w:r w:rsidR="00145D6F" w:rsidRPr="00922244">
        <w:rPr>
          <w:szCs w:val="24"/>
        </w:rPr>
        <w:t xml:space="preserve"> </w:t>
      </w:r>
      <w:r w:rsidR="002D4249" w:rsidRPr="00922244">
        <w:rPr>
          <w:szCs w:val="24"/>
        </w:rPr>
        <w:t xml:space="preserve">Armenia’s sensitivity </w:t>
      </w:r>
      <w:r w:rsidR="00145D6F">
        <w:rPr>
          <w:szCs w:val="24"/>
        </w:rPr>
        <w:t xml:space="preserve">to </w:t>
      </w:r>
      <w:r w:rsidR="002D4249" w:rsidRPr="00922244">
        <w:rPr>
          <w:szCs w:val="24"/>
        </w:rPr>
        <w:t xml:space="preserve">external shocks. </w:t>
      </w:r>
      <w:r w:rsidR="00145D6F">
        <w:rPr>
          <w:szCs w:val="24"/>
        </w:rPr>
        <w:t>T</w:t>
      </w:r>
      <w:r w:rsidR="002D4249" w:rsidRPr="00922244">
        <w:rPr>
          <w:szCs w:val="24"/>
        </w:rPr>
        <w:t>he global financial crisis of 200</w:t>
      </w:r>
      <w:r w:rsidR="00367D4E">
        <w:rPr>
          <w:szCs w:val="24"/>
        </w:rPr>
        <w:t>8</w:t>
      </w:r>
      <w:r w:rsidR="002D4249" w:rsidRPr="00922244">
        <w:rPr>
          <w:szCs w:val="24"/>
        </w:rPr>
        <w:t xml:space="preserve">–09 and high volatility </w:t>
      </w:r>
      <w:r w:rsidR="00145D6F">
        <w:rPr>
          <w:szCs w:val="24"/>
        </w:rPr>
        <w:t xml:space="preserve">of </w:t>
      </w:r>
      <w:r w:rsidR="002D4249" w:rsidRPr="00922244">
        <w:rPr>
          <w:szCs w:val="24"/>
        </w:rPr>
        <w:t xml:space="preserve">commodity prices during 2008–11 </w:t>
      </w:r>
      <w:r w:rsidR="006F2E71">
        <w:rPr>
          <w:szCs w:val="24"/>
        </w:rPr>
        <w:t xml:space="preserve">(Figure 2) </w:t>
      </w:r>
      <w:r w:rsidR="002D4249" w:rsidRPr="00922244">
        <w:rPr>
          <w:szCs w:val="24"/>
        </w:rPr>
        <w:t xml:space="preserve">hit </w:t>
      </w:r>
      <w:r w:rsidR="00145D6F">
        <w:rPr>
          <w:szCs w:val="24"/>
        </w:rPr>
        <w:t xml:space="preserve">the </w:t>
      </w:r>
      <w:r w:rsidR="00145D6F" w:rsidRPr="00922244">
        <w:rPr>
          <w:szCs w:val="24"/>
        </w:rPr>
        <w:t xml:space="preserve">Armenian economy </w:t>
      </w:r>
      <w:r w:rsidR="002D4249" w:rsidRPr="00922244">
        <w:rPr>
          <w:szCs w:val="24"/>
        </w:rPr>
        <w:t>very hard</w:t>
      </w:r>
      <w:r w:rsidR="006F2E71">
        <w:rPr>
          <w:szCs w:val="24"/>
        </w:rPr>
        <w:t>.</w:t>
      </w:r>
      <w:r w:rsidR="002D4249" w:rsidRPr="00922244">
        <w:rPr>
          <w:szCs w:val="24"/>
        </w:rPr>
        <w:t xml:space="preserve"> From the crisis onset, remittances and capita</w:t>
      </w:r>
      <w:r w:rsidR="006F2E71">
        <w:rPr>
          <w:szCs w:val="24"/>
        </w:rPr>
        <w:t>l inflows declined dramatically and</w:t>
      </w:r>
      <w:r w:rsidR="002D4249" w:rsidRPr="00922244">
        <w:rPr>
          <w:szCs w:val="24"/>
        </w:rPr>
        <w:t xml:space="preserve"> </w:t>
      </w:r>
      <w:r w:rsidR="00145D6F">
        <w:rPr>
          <w:szCs w:val="24"/>
        </w:rPr>
        <w:t xml:space="preserve">the </w:t>
      </w:r>
      <w:r w:rsidR="002D4249" w:rsidRPr="00922244">
        <w:rPr>
          <w:szCs w:val="24"/>
        </w:rPr>
        <w:t xml:space="preserve">exchange rate depreciated. </w:t>
      </w:r>
      <w:r w:rsidR="00145D6F">
        <w:rPr>
          <w:szCs w:val="24"/>
        </w:rPr>
        <w:t>P</w:t>
      </w:r>
      <w:r w:rsidR="002D4249" w:rsidRPr="00922244">
        <w:rPr>
          <w:szCs w:val="24"/>
        </w:rPr>
        <w:t xml:space="preserve">urchasing power weakened, which reduced significantly consumption and activity in the construction sector (the main growth driver during the pre-crisis period). Export-oriented industrial sectors, such as mining and metallurgy were also hit hard, reflecting </w:t>
      </w:r>
      <w:r w:rsidR="00145D6F">
        <w:rPr>
          <w:szCs w:val="24"/>
        </w:rPr>
        <w:t xml:space="preserve">lower prices and </w:t>
      </w:r>
      <w:r w:rsidR="002D4249" w:rsidRPr="00922244">
        <w:rPr>
          <w:szCs w:val="24"/>
        </w:rPr>
        <w:t>weak global demand. As a result</w:t>
      </w:r>
      <w:r w:rsidR="00145D6F">
        <w:rPr>
          <w:szCs w:val="24"/>
        </w:rPr>
        <w:t>,</w:t>
      </w:r>
      <w:r w:rsidR="002D4249" w:rsidRPr="00922244">
        <w:rPr>
          <w:szCs w:val="24"/>
        </w:rPr>
        <w:t xml:space="preserve"> the economy contracted by 14.</w:t>
      </w:r>
      <w:r w:rsidR="002D4249">
        <w:rPr>
          <w:szCs w:val="24"/>
        </w:rPr>
        <w:t>1</w:t>
      </w:r>
      <w:r w:rsidR="002D4249" w:rsidRPr="00922244">
        <w:rPr>
          <w:szCs w:val="24"/>
        </w:rPr>
        <w:t xml:space="preserve"> percent in 2009, the second largest contraction of GDP in the world, after Ukraine. The contraction triggered the implementation of supportive </w:t>
      </w:r>
      <w:r w:rsidR="006F2E71">
        <w:rPr>
          <w:szCs w:val="24"/>
        </w:rPr>
        <w:t>m</w:t>
      </w:r>
      <w:r w:rsidR="002D4249" w:rsidRPr="00922244">
        <w:rPr>
          <w:szCs w:val="24"/>
        </w:rPr>
        <w:t>acroeconomic policies that led to large increases in the fiscal deficit and public debt and a reduction in international</w:t>
      </w:r>
      <w:r w:rsidR="006F2E71">
        <w:rPr>
          <w:szCs w:val="24"/>
        </w:rPr>
        <w:t xml:space="preserve"> reserves</w:t>
      </w:r>
      <w:r w:rsidR="002D4249" w:rsidRPr="00922244">
        <w:rPr>
          <w:szCs w:val="24"/>
        </w:rPr>
        <w:t xml:space="preserve">. </w:t>
      </w:r>
    </w:p>
    <w:p w:rsidR="00BA028A" w:rsidRDefault="002D4249" w:rsidP="002D4249">
      <w:pPr>
        <w:rPr>
          <w:rFonts w:eastAsia="Calibri"/>
          <w:szCs w:val="24"/>
        </w:rPr>
      </w:pPr>
      <w:r w:rsidRPr="002D32AE">
        <w:rPr>
          <w:rFonts w:eastAsia="Calibri"/>
          <w:szCs w:val="24"/>
        </w:rPr>
        <w:t xml:space="preserve">At the regional level, the recent escalation of tensions </w:t>
      </w:r>
      <w:r w:rsidR="00145D6F">
        <w:rPr>
          <w:rFonts w:eastAsia="Calibri"/>
          <w:szCs w:val="24"/>
        </w:rPr>
        <w:t xml:space="preserve">between Russia and Ukraine </w:t>
      </w:r>
      <w:r w:rsidR="000A588A">
        <w:rPr>
          <w:rFonts w:eastAsia="Calibri"/>
          <w:szCs w:val="24"/>
        </w:rPr>
        <w:t>and the sharp decline in international oil prices are</w:t>
      </w:r>
      <w:r w:rsidRPr="002D32AE">
        <w:rPr>
          <w:rFonts w:eastAsia="Calibri"/>
          <w:szCs w:val="24"/>
        </w:rPr>
        <w:t xml:space="preserve"> also affe</w:t>
      </w:r>
      <w:r w:rsidR="000A588A">
        <w:rPr>
          <w:rFonts w:eastAsia="Calibri"/>
          <w:szCs w:val="24"/>
        </w:rPr>
        <w:t>cting Armenia</w:t>
      </w:r>
      <w:r w:rsidR="00145D6F">
        <w:rPr>
          <w:rFonts w:eastAsia="Calibri"/>
          <w:szCs w:val="24"/>
        </w:rPr>
        <w:t>. B</w:t>
      </w:r>
      <w:r w:rsidR="000A588A">
        <w:rPr>
          <w:rFonts w:eastAsia="Calibri"/>
          <w:szCs w:val="24"/>
        </w:rPr>
        <w:t>oth developments</w:t>
      </w:r>
      <w:r w:rsidRPr="002D32AE">
        <w:rPr>
          <w:rFonts w:eastAsia="Calibri"/>
          <w:szCs w:val="24"/>
        </w:rPr>
        <w:t xml:space="preserve"> ha</w:t>
      </w:r>
      <w:r w:rsidR="000A588A">
        <w:rPr>
          <w:rFonts w:eastAsia="Calibri"/>
          <w:szCs w:val="24"/>
        </w:rPr>
        <w:t>ve</w:t>
      </w:r>
      <w:r w:rsidR="009D56C4">
        <w:rPr>
          <w:rFonts w:eastAsia="Calibri"/>
          <w:szCs w:val="24"/>
        </w:rPr>
        <w:t xml:space="preserve"> led to an </w:t>
      </w:r>
      <w:r w:rsidR="009D56C4" w:rsidRPr="00AA1813">
        <w:rPr>
          <w:rFonts w:eastAsia="Calibri"/>
          <w:szCs w:val="24"/>
        </w:rPr>
        <w:t xml:space="preserve">increase in the uncertainty about Russia’s </w:t>
      </w:r>
      <w:r w:rsidR="00367D4E">
        <w:rPr>
          <w:rFonts w:eastAsia="Calibri"/>
          <w:szCs w:val="24"/>
        </w:rPr>
        <w:t>economy</w:t>
      </w:r>
      <w:r w:rsidR="009D56C4" w:rsidRPr="002D32AE">
        <w:rPr>
          <w:rFonts w:eastAsia="Calibri"/>
          <w:szCs w:val="24"/>
        </w:rPr>
        <w:t xml:space="preserve"> </w:t>
      </w:r>
      <w:r w:rsidR="009D56C4">
        <w:rPr>
          <w:rFonts w:eastAsia="Calibri"/>
          <w:szCs w:val="24"/>
        </w:rPr>
        <w:t xml:space="preserve">and a </w:t>
      </w:r>
      <w:r w:rsidRPr="002D32AE">
        <w:rPr>
          <w:rFonts w:eastAsia="Calibri"/>
          <w:szCs w:val="24"/>
        </w:rPr>
        <w:t>substantial downgrading in Russia’s near-term growth</w:t>
      </w:r>
      <w:r w:rsidR="009D56C4">
        <w:rPr>
          <w:rFonts w:eastAsia="Calibri"/>
          <w:szCs w:val="24"/>
        </w:rPr>
        <w:t xml:space="preserve"> forecast. Regional tensions and declining oil prices have </w:t>
      </w:r>
      <w:r w:rsidR="00145D6F">
        <w:rPr>
          <w:rFonts w:eastAsia="Calibri"/>
          <w:szCs w:val="24"/>
        </w:rPr>
        <w:t xml:space="preserve">led </w:t>
      </w:r>
      <w:r w:rsidRPr="00AA1813">
        <w:rPr>
          <w:rFonts w:eastAsia="Calibri"/>
          <w:szCs w:val="24"/>
        </w:rPr>
        <w:t>to capital outflows</w:t>
      </w:r>
      <w:r w:rsidR="00145D6F">
        <w:rPr>
          <w:rFonts w:eastAsia="Calibri"/>
          <w:szCs w:val="24"/>
        </w:rPr>
        <w:t xml:space="preserve"> from Russia</w:t>
      </w:r>
      <w:r w:rsidRPr="00AA1813">
        <w:rPr>
          <w:rFonts w:eastAsia="Calibri"/>
          <w:szCs w:val="24"/>
        </w:rPr>
        <w:t>, a depreciation of the ruble</w:t>
      </w:r>
      <w:r w:rsidR="00A570D4">
        <w:rPr>
          <w:rFonts w:eastAsia="Calibri"/>
          <w:szCs w:val="24"/>
        </w:rPr>
        <w:t xml:space="preserve"> (Figure 3)</w:t>
      </w:r>
      <w:r w:rsidRPr="00AA1813">
        <w:rPr>
          <w:rFonts w:eastAsia="Calibri"/>
          <w:szCs w:val="24"/>
        </w:rPr>
        <w:t xml:space="preserve">, </w:t>
      </w:r>
      <w:r w:rsidR="00145D6F">
        <w:rPr>
          <w:rFonts w:eastAsia="Calibri"/>
          <w:szCs w:val="24"/>
        </w:rPr>
        <w:t xml:space="preserve">and less </w:t>
      </w:r>
      <w:r w:rsidRPr="00AA1813">
        <w:rPr>
          <w:rFonts w:eastAsia="Calibri"/>
          <w:szCs w:val="24"/>
        </w:rPr>
        <w:t xml:space="preserve">external funding for Russian companies and banks, which, together with </w:t>
      </w:r>
      <w:r w:rsidRPr="00AA1813">
        <w:rPr>
          <w:rFonts w:eastAsia="Calibri"/>
          <w:szCs w:val="24"/>
        </w:rPr>
        <w:lastRenderedPageBreak/>
        <w:t>significant increases in the policy rate and bond yields, have translated in</w:t>
      </w:r>
      <w:r w:rsidR="00367D4E">
        <w:rPr>
          <w:rFonts w:eastAsia="Calibri"/>
          <w:szCs w:val="24"/>
        </w:rPr>
        <w:t>to</w:t>
      </w:r>
      <w:r w:rsidRPr="00AA1813">
        <w:rPr>
          <w:rFonts w:eastAsia="Calibri"/>
          <w:szCs w:val="24"/>
        </w:rPr>
        <w:t xml:space="preserve"> weaker investment and growth prospects. All neighboring countries have been affected by these developments, and especially the Caucasus and Central Asia (CCA) region, which is </w:t>
      </w:r>
      <w:r w:rsidR="00E802C9">
        <w:rPr>
          <w:rFonts w:eastAsia="Calibri"/>
          <w:szCs w:val="24"/>
        </w:rPr>
        <w:t xml:space="preserve">also </w:t>
      </w:r>
      <w:r w:rsidRPr="00AA1813">
        <w:rPr>
          <w:rFonts w:eastAsia="Calibri"/>
          <w:szCs w:val="24"/>
        </w:rPr>
        <w:t xml:space="preserve">closely integrated with Russia through remittances and trade. </w:t>
      </w:r>
      <w:r w:rsidR="002C36BB">
        <w:rPr>
          <w:rFonts w:eastAsia="Calibri"/>
          <w:szCs w:val="24"/>
        </w:rPr>
        <w:t xml:space="preserve">In the case of Armenia, the </w:t>
      </w:r>
      <w:r w:rsidR="005B2920">
        <w:rPr>
          <w:rFonts w:eastAsia="Calibri"/>
          <w:szCs w:val="24"/>
        </w:rPr>
        <w:t>most visible signs so far have been the</w:t>
      </w:r>
      <w:r w:rsidR="002C36BB">
        <w:rPr>
          <w:rFonts w:eastAsia="Calibri"/>
          <w:szCs w:val="24"/>
        </w:rPr>
        <w:t xml:space="preserve"> significant deceleration in remittances and </w:t>
      </w:r>
      <w:r w:rsidR="005B2920">
        <w:rPr>
          <w:rFonts w:eastAsia="Calibri"/>
          <w:szCs w:val="24"/>
        </w:rPr>
        <w:t>the</w:t>
      </w:r>
      <w:r w:rsidR="002C36BB">
        <w:rPr>
          <w:rFonts w:eastAsia="Calibri"/>
          <w:szCs w:val="24"/>
        </w:rPr>
        <w:t xml:space="preserve"> depreciation </w:t>
      </w:r>
      <w:r w:rsidR="005B2920">
        <w:rPr>
          <w:rFonts w:eastAsia="Calibri"/>
          <w:szCs w:val="24"/>
        </w:rPr>
        <w:t>that the e</w:t>
      </w:r>
      <w:r w:rsidR="002C36BB">
        <w:rPr>
          <w:rFonts w:eastAsia="Calibri"/>
          <w:szCs w:val="24"/>
        </w:rPr>
        <w:t xml:space="preserve">xchange rate </w:t>
      </w:r>
      <w:r w:rsidR="005B2920">
        <w:rPr>
          <w:rFonts w:eastAsia="Calibri"/>
          <w:szCs w:val="24"/>
        </w:rPr>
        <w:t xml:space="preserve">of the dram </w:t>
      </w:r>
      <w:r w:rsidR="00376A9D">
        <w:rPr>
          <w:rFonts w:eastAsia="Calibri"/>
          <w:szCs w:val="24"/>
        </w:rPr>
        <w:t>(Figure 4).</w:t>
      </w:r>
    </w:p>
    <w:p w:rsidR="000B4F9F" w:rsidRDefault="000B4F9F" w:rsidP="002D4249">
      <w:pPr>
        <w:rPr>
          <w:rFonts w:eastAsia="Calibri"/>
          <w:szCs w:val="24"/>
        </w:rPr>
      </w:pPr>
    </w:p>
    <w:p w:rsidR="00BA028A" w:rsidRPr="008143D7" w:rsidRDefault="007A10A1" w:rsidP="00AA397D">
      <w:pPr>
        <w:jc w:val="center"/>
        <w:rPr>
          <w:rFonts w:eastAsia="Calibri"/>
          <w:b/>
          <w:sz w:val="20"/>
        </w:rPr>
      </w:pPr>
      <w:r w:rsidRPr="008143D7">
        <w:rPr>
          <w:rFonts w:eastAsia="Calibri"/>
          <w:b/>
          <w:noProof/>
          <w:sz w:val="20"/>
        </w:rPr>
        <w:drawing>
          <wp:anchor distT="0" distB="0" distL="114300" distR="114300" simplePos="0" relativeHeight="251660288" behindDoc="1" locked="0" layoutInCell="1" allowOverlap="1">
            <wp:simplePos x="0" y="0"/>
            <wp:positionH relativeFrom="column">
              <wp:posOffset>19050</wp:posOffset>
            </wp:positionH>
            <wp:positionV relativeFrom="paragraph">
              <wp:posOffset>175895</wp:posOffset>
            </wp:positionV>
            <wp:extent cx="5716270" cy="2172335"/>
            <wp:effectExtent l="19050" t="0" r="0" b="0"/>
            <wp:wrapTight wrapText="bothSides">
              <wp:wrapPolygon edited="0">
                <wp:start x="-72" y="0"/>
                <wp:lineTo x="-72" y="21215"/>
                <wp:lineTo x="21595" y="21215"/>
                <wp:lineTo x="21595" y="0"/>
                <wp:lineTo x="-72"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16270" cy="2172335"/>
                    </a:xfrm>
                    <a:prstGeom prst="rect">
                      <a:avLst/>
                    </a:prstGeom>
                    <a:noFill/>
                    <a:ln w="9525">
                      <a:noFill/>
                      <a:miter lim="800000"/>
                      <a:headEnd/>
                      <a:tailEnd/>
                    </a:ln>
                  </pic:spPr>
                </pic:pic>
              </a:graphicData>
            </a:graphic>
          </wp:anchor>
        </w:drawing>
      </w:r>
      <w:r w:rsidR="00BA028A" w:rsidRPr="008143D7">
        <w:rPr>
          <w:rFonts w:eastAsia="Calibri"/>
          <w:b/>
          <w:sz w:val="20"/>
        </w:rPr>
        <w:t xml:space="preserve">Figure 4: </w:t>
      </w:r>
      <w:r w:rsidR="00AA397D" w:rsidRPr="008143D7">
        <w:rPr>
          <w:rFonts w:eastAsia="Calibri"/>
          <w:b/>
          <w:sz w:val="20"/>
        </w:rPr>
        <w:t>Armenia’s Remittances and Exchange Rate</w:t>
      </w:r>
    </w:p>
    <w:p w:rsidR="007A10A1" w:rsidRDefault="007A10A1" w:rsidP="002D4249"/>
    <w:p w:rsidR="00855B38" w:rsidRPr="00855B38" w:rsidRDefault="00855B38" w:rsidP="00855B38">
      <w:pPr>
        <w:pStyle w:val="Heading2"/>
        <w:numPr>
          <w:ilvl w:val="0"/>
          <w:numId w:val="16"/>
        </w:numPr>
        <w:tabs>
          <w:tab w:val="left" w:pos="0"/>
        </w:tabs>
        <w:autoSpaceDE w:val="0"/>
        <w:autoSpaceDN w:val="0"/>
        <w:adjustRightInd w:val="0"/>
        <w:spacing w:after="120"/>
        <w:rPr>
          <w:rFonts w:cs="Times New Roman"/>
          <w:bCs w:val="0"/>
          <w:color w:val="000000" w:themeColor="text1"/>
          <w:szCs w:val="24"/>
        </w:rPr>
      </w:pPr>
      <w:r w:rsidRPr="00855B38">
        <w:rPr>
          <w:rFonts w:cs="Times New Roman"/>
          <w:bCs w:val="0"/>
          <w:color w:val="000000" w:themeColor="text1"/>
          <w:szCs w:val="24"/>
        </w:rPr>
        <w:t xml:space="preserve">The Main Transmission Channels: Links with Trading Partners </w:t>
      </w:r>
    </w:p>
    <w:p w:rsidR="00855B38" w:rsidRPr="00855B38" w:rsidRDefault="00855B38" w:rsidP="00855B38">
      <w:pPr>
        <w:tabs>
          <w:tab w:val="left" w:pos="0"/>
          <w:tab w:val="left" w:pos="360"/>
        </w:tabs>
        <w:autoSpaceDE w:val="0"/>
        <w:autoSpaceDN w:val="0"/>
        <w:adjustRightInd w:val="0"/>
        <w:spacing w:after="120"/>
        <w:jc w:val="both"/>
        <w:rPr>
          <w:b/>
          <w:i/>
          <w:szCs w:val="24"/>
        </w:rPr>
      </w:pPr>
      <w:r w:rsidRPr="008143D7">
        <w:rPr>
          <w:b/>
          <w:i/>
          <w:szCs w:val="24"/>
        </w:rPr>
        <w:t>T</w:t>
      </w:r>
      <w:r w:rsidRPr="00855B38">
        <w:rPr>
          <w:b/>
          <w:i/>
          <w:szCs w:val="24"/>
        </w:rPr>
        <w:t xml:space="preserve">rade </w:t>
      </w:r>
    </w:p>
    <w:p w:rsidR="007A10A1" w:rsidRPr="00922244" w:rsidRDefault="00855B38" w:rsidP="007A10A1">
      <w:pPr>
        <w:tabs>
          <w:tab w:val="left" w:pos="0"/>
        </w:tabs>
        <w:autoSpaceDE w:val="0"/>
        <w:autoSpaceDN w:val="0"/>
        <w:adjustRightInd w:val="0"/>
        <w:spacing w:after="120"/>
        <w:rPr>
          <w:szCs w:val="24"/>
        </w:rPr>
      </w:pPr>
      <w:r w:rsidRPr="00922244">
        <w:rPr>
          <w:szCs w:val="24"/>
        </w:rPr>
        <w:t xml:space="preserve">In terms of the geographical structure, the EU is the main destination of Armenian exports (Figure </w:t>
      </w:r>
      <w:r w:rsidR="00D15D1D">
        <w:rPr>
          <w:szCs w:val="24"/>
        </w:rPr>
        <w:t>5</w:t>
      </w:r>
      <w:r w:rsidRPr="00922244">
        <w:rPr>
          <w:szCs w:val="24"/>
        </w:rPr>
        <w:t xml:space="preserve">). The EU’s average share in Armenian exports for the period 2010-2013 was </w:t>
      </w:r>
      <w:r>
        <w:rPr>
          <w:szCs w:val="24"/>
        </w:rPr>
        <w:t>41</w:t>
      </w:r>
      <w:r w:rsidRPr="00922244">
        <w:rPr>
          <w:szCs w:val="24"/>
        </w:rPr>
        <w:t xml:space="preserve"> percent, quite above the share of Armenia exports to Russia</w:t>
      </w:r>
      <w:r w:rsidR="00600049">
        <w:rPr>
          <w:szCs w:val="24"/>
        </w:rPr>
        <w:t>, which accounts for 23 percent of total exports</w:t>
      </w:r>
      <w:r w:rsidRPr="00922244">
        <w:rPr>
          <w:szCs w:val="24"/>
        </w:rPr>
        <w:t>.</w:t>
      </w:r>
      <w:r>
        <w:rPr>
          <w:szCs w:val="24"/>
        </w:rPr>
        <w:t xml:space="preserve"> </w:t>
      </w:r>
      <w:r w:rsidRPr="00922244">
        <w:rPr>
          <w:szCs w:val="24"/>
        </w:rPr>
        <w:t>Germany is the EU country that absorbs the largest part of Armenian exports, accounting for 22.5 percent of the total Armenian exports to the EU.</w:t>
      </w:r>
      <w:r w:rsidR="00D15D1D" w:rsidRPr="00D15D1D">
        <w:rPr>
          <w:szCs w:val="24"/>
        </w:rPr>
        <w:t xml:space="preserve"> </w:t>
      </w:r>
      <w:r w:rsidR="00D15D1D" w:rsidRPr="00922244">
        <w:rPr>
          <w:szCs w:val="24"/>
        </w:rPr>
        <w:t>As regards imports, the geographical structure is slightly more diversified, with the EU accounting for 26 percent of total imports and Russia for 18 percent. Nonetheless, when considered altogether, Russia and other post-Soviet republics provide the largest share of Armenian imports, around 3</w:t>
      </w:r>
      <w:r w:rsidR="00D15D1D">
        <w:rPr>
          <w:szCs w:val="24"/>
        </w:rPr>
        <w:t>1</w:t>
      </w:r>
      <w:r w:rsidR="00D15D1D" w:rsidRPr="00922244">
        <w:rPr>
          <w:szCs w:val="24"/>
        </w:rPr>
        <w:t xml:space="preserve"> percent.</w:t>
      </w:r>
      <w:r w:rsidR="007A10A1" w:rsidRPr="007A10A1">
        <w:rPr>
          <w:szCs w:val="24"/>
        </w:rPr>
        <w:t xml:space="preserve"> </w:t>
      </w:r>
    </w:p>
    <w:p w:rsidR="00855B38" w:rsidRPr="008143D7" w:rsidRDefault="00855B38" w:rsidP="00855B38">
      <w:pPr>
        <w:tabs>
          <w:tab w:val="left" w:pos="0"/>
        </w:tabs>
        <w:autoSpaceDE w:val="0"/>
        <w:autoSpaceDN w:val="0"/>
        <w:adjustRightInd w:val="0"/>
        <w:spacing w:after="120"/>
        <w:ind w:firstLine="360"/>
        <w:jc w:val="center"/>
        <w:rPr>
          <w:b/>
          <w:sz w:val="20"/>
        </w:rPr>
      </w:pPr>
      <w:r w:rsidRPr="008143D7">
        <w:rPr>
          <w:b/>
          <w:sz w:val="20"/>
        </w:rPr>
        <w:t xml:space="preserve">Figure </w:t>
      </w:r>
      <w:r w:rsidR="00D15D1D" w:rsidRPr="008143D7">
        <w:rPr>
          <w:b/>
          <w:sz w:val="20"/>
        </w:rPr>
        <w:t>5</w:t>
      </w:r>
      <w:r w:rsidRPr="008143D7">
        <w:rPr>
          <w:b/>
          <w:sz w:val="20"/>
        </w:rPr>
        <w:t>: Armenia: Geog</w:t>
      </w:r>
      <w:r w:rsidR="00C82FBB" w:rsidRPr="008143D7">
        <w:rPr>
          <w:b/>
          <w:sz w:val="20"/>
        </w:rPr>
        <w:t>raphical Structure of External T</w:t>
      </w:r>
      <w:r w:rsidRPr="008143D7">
        <w:rPr>
          <w:b/>
          <w:sz w:val="20"/>
        </w:rPr>
        <w:t>rade 2010-2013</w:t>
      </w:r>
    </w:p>
    <w:p w:rsidR="00855B38" w:rsidRDefault="00BC129A" w:rsidP="00855B38">
      <w:pPr>
        <w:tabs>
          <w:tab w:val="left" w:pos="0"/>
        </w:tabs>
        <w:autoSpaceDE w:val="0"/>
        <w:autoSpaceDN w:val="0"/>
        <w:adjustRightInd w:val="0"/>
        <w:spacing w:after="120"/>
        <w:ind w:firstLine="360"/>
        <w:rPr>
          <w:b/>
          <w:sz w:val="20"/>
        </w:rPr>
      </w:pPr>
      <w:r>
        <w:rPr>
          <w:rFonts w:ascii="GHEA Grapalat" w:hAnsi="GHEA Grapalat"/>
          <w:noProof/>
          <w:sz w:val="22"/>
          <w:szCs w:val="22"/>
        </w:rPr>
        <mc:AlternateContent>
          <mc:Choice Requires="wpg">
            <w:drawing>
              <wp:anchor distT="0" distB="0" distL="114300" distR="114300" simplePos="0" relativeHeight="251673600" behindDoc="0" locked="0" layoutInCell="1" allowOverlap="1">
                <wp:simplePos x="0" y="0"/>
                <wp:positionH relativeFrom="column">
                  <wp:posOffset>-191770</wp:posOffset>
                </wp:positionH>
                <wp:positionV relativeFrom="paragraph">
                  <wp:posOffset>295275</wp:posOffset>
                </wp:positionV>
                <wp:extent cx="6035040" cy="2002790"/>
                <wp:effectExtent l="0" t="0" r="0" b="0"/>
                <wp:wrapTopAndBottom/>
                <wp:docPr id="23"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040" cy="2002790"/>
                          <a:chOff x="0" y="0"/>
                          <a:chExt cx="9277350" cy="2495775"/>
                        </a:xfrm>
                      </wpg:grpSpPr>
                      <wpg:graphicFrame>
                        <wpg:cNvPr id="25" name="Диаграмма 3"/>
                        <wpg:cNvFrPr/>
                        <wpg:xfrm>
                          <a:off x="0" y="0"/>
                          <a:ext cx="4572000" cy="248625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32" name="Диаграмма 5"/>
                        <wpg:cNvFrPr/>
                        <wpg:xfrm>
                          <a:off x="4705350" y="9525"/>
                          <a:ext cx="4572000" cy="2486250"/>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14:sizeRelH relativeFrom="margin">
                  <wp14:pctWidth>0</wp14:pctWidth>
                </wp14:sizeRelH>
                <wp14:sizeRelV relativeFrom="margin">
                  <wp14:pctHeight>0</wp14:pctHeight>
                </wp14:sizeRelV>
              </wp:anchor>
            </w:drawing>
          </mc:Choice>
          <mc:Fallback>
            <w:pict>
              <v:group id="Группа 8" o:spid="_x0000_s1026" style="position:absolute;margin-left:-15.1pt;margin-top:23.25pt;width:475.2pt;height:157.7pt;z-index:251673600;mso-width-relative:margin;mso-height-relative:margin" coordsize="92773,2495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s1027" type="#_x0000_t75" style="position:absolute;width:45730;height:24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">
                  <v:imagedata r:id="rId21" o:title=""/>
                  <o:lock v:ext="edit" aspectratio="f"/>
                </v:shape>
                <v:shape id="Диаграмма 5" o:spid="_x0000_s1028" type="#_x0000_t75" style="position:absolute;left:47042;top:75;width:45731;height:249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">
                  <v:imagedata r:id="rId22" o:title=""/>
                  <o:lock v:ext="edit" aspectratio="f"/>
                </v:shape>
                <w10:wrap type="topAndBottom"/>
              </v:group>
            </w:pict>
          </mc:Fallback>
        </mc:AlternateContent>
      </w:r>
      <w:r w:rsidR="00D15D1D">
        <w:rPr>
          <w:sz w:val="20"/>
        </w:rPr>
        <w:t xml:space="preserve">                         </w:t>
      </w:r>
      <w:r w:rsidR="00855B38" w:rsidRPr="00CB299E">
        <w:rPr>
          <w:sz w:val="20"/>
        </w:rPr>
        <w:t xml:space="preserve">(a) Exports                                                                            </w:t>
      </w:r>
      <w:r w:rsidR="00855B38">
        <w:rPr>
          <w:sz w:val="20"/>
        </w:rPr>
        <w:t xml:space="preserve"> </w:t>
      </w:r>
      <w:r w:rsidR="00855B38" w:rsidRPr="00CB299E">
        <w:rPr>
          <w:sz w:val="20"/>
        </w:rPr>
        <w:t xml:space="preserve">  (b) Imports</w:t>
      </w:r>
      <w:r w:rsidR="00855B38">
        <w:rPr>
          <w:noProof/>
        </w:rPr>
        <w:t xml:space="preserve"> </w:t>
      </w:r>
    </w:p>
    <w:p w:rsidR="00855B38" w:rsidRPr="007D4A02" w:rsidRDefault="00855B38" w:rsidP="00855B38">
      <w:pPr>
        <w:pStyle w:val="NormalWeb"/>
        <w:spacing w:before="0" w:beforeAutospacing="0" w:after="120" w:afterAutospacing="0"/>
        <w:rPr>
          <w:sz w:val="18"/>
          <w:szCs w:val="18"/>
        </w:rPr>
      </w:pPr>
      <w:r w:rsidRPr="00CB299E">
        <w:rPr>
          <w:sz w:val="18"/>
          <w:szCs w:val="18"/>
        </w:rPr>
        <w:lastRenderedPageBreak/>
        <w:t>Source: National Statistical Service</w:t>
      </w:r>
      <w:r>
        <w:rPr>
          <w:sz w:val="18"/>
          <w:szCs w:val="18"/>
        </w:rPr>
        <w:t xml:space="preserve"> (NSS)</w:t>
      </w:r>
      <w:r w:rsidRPr="00CB299E">
        <w:rPr>
          <w:sz w:val="18"/>
          <w:szCs w:val="18"/>
        </w:rPr>
        <w:t xml:space="preserve"> of the R</w:t>
      </w:r>
      <w:r w:rsidR="00D15D1D">
        <w:rPr>
          <w:sz w:val="18"/>
          <w:szCs w:val="18"/>
        </w:rPr>
        <w:t xml:space="preserve">epublic of </w:t>
      </w:r>
      <w:r w:rsidRPr="00CB299E">
        <w:rPr>
          <w:sz w:val="18"/>
          <w:szCs w:val="18"/>
        </w:rPr>
        <w:t>A</w:t>
      </w:r>
      <w:r w:rsidR="00D15D1D">
        <w:rPr>
          <w:sz w:val="18"/>
          <w:szCs w:val="18"/>
        </w:rPr>
        <w:t>rmenia</w:t>
      </w:r>
      <w:r w:rsidRPr="00CB299E">
        <w:rPr>
          <w:sz w:val="18"/>
          <w:szCs w:val="18"/>
        </w:rPr>
        <w:t xml:space="preserve"> and </w:t>
      </w:r>
      <w:r w:rsidRPr="007D4A02">
        <w:rPr>
          <w:color w:val="000000"/>
          <w:sz w:val="18"/>
          <w:szCs w:val="18"/>
        </w:rPr>
        <w:t>author</w:t>
      </w:r>
      <w:r w:rsidR="00A17C40">
        <w:rPr>
          <w:color w:val="000000"/>
          <w:sz w:val="18"/>
          <w:szCs w:val="18"/>
        </w:rPr>
        <w:t>s</w:t>
      </w:r>
      <w:r w:rsidRPr="007D4A02">
        <w:rPr>
          <w:color w:val="000000"/>
          <w:sz w:val="18"/>
          <w:szCs w:val="18"/>
        </w:rPr>
        <w:t>’ calculations.</w:t>
      </w:r>
    </w:p>
    <w:p w:rsidR="00D15D1D" w:rsidRDefault="00855B38" w:rsidP="00D15D1D">
      <w:pPr>
        <w:tabs>
          <w:tab w:val="left" w:pos="0"/>
        </w:tabs>
        <w:autoSpaceDE w:val="0"/>
        <w:autoSpaceDN w:val="0"/>
        <w:adjustRightInd w:val="0"/>
        <w:spacing w:after="120"/>
        <w:rPr>
          <w:szCs w:val="24"/>
        </w:rPr>
      </w:pPr>
      <w:r w:rsidRPr="00922244">
        <w:rPr>
          <w:szCs w:val="24"/>
        </w:rPr>
        <w:t>As regards product specialization, in the last few years, commodities have increased their shares in Armenian exports and imports</w:t>
      </w:r>
      <w:r w:rsidR="00D15D1D">
        <w:rPr>
          <w:szCs w:val="24"/>
        </w:rPr>
        <w:t xml:space="preserve"> (Figure 6</w:t>
      </w:r>
      <w:r>
        <w:rPr>
          <w:szCs w:val="24"/>
        </w:rPr>
        <w:t>)</w:t>
      </w:r>
      <w:r w:rsidRPr="00922244">
        <w:rPr>
          <w:szCs w:val="24"/>
        </w:rPr>
        <w:t xml:space="preserve">. </w:t>
      </w:r>
      <w:r w:rsidR="00D15D1D" w:rsidRPr="00922244">
        <w:rPr>
          <w:szCs w:val="24"/>
        </w:rPr>
        <w:t xml:space="preserve">In particular, a significant part of EU exports consists of ores and metals. This implies that fluctuations of commodity prices in international markets could affect the value and volume of exports to the EU, and therefore have an impact on Armenia economic activity. Exports to Russia, however, tend to </w:t>
      </w:r>
      <w:r w:rsidR="00367D4E">
        <w:rPr>
          <w:szCs w:val="24"/>
        </w:rPr>
        <w:t>concentrate on goods with a</w:t>
      </w:r>
      <w:r w:rsidR="00D15D1D" w:rsidRPr="00922244">
        <w:rPr>
          <w:szCs w:val="24"/>
        </w:rPr>
        <w:t xml:space="preserve"> higher value</w:t>
      </w:r>
      <w:r w:rsidR="00367D4E">
        <w:rPr>
          <w:szCs w:val="24"/>
        </w:rPr>
        <w:t xml:space="preserve"> </w:t>
      </w:r>
      <w:r w:rsidR="00D15D1D" w:rsidRPr="00922244">
        <w:rPr>
          <w:szCs w:val="24"/>
        </w:rPr>
        <w:t>added and aimed more specifically</w:t>
      </w:r>
      <w:r w:rsidR="00367D4E">
        <w:rPr>
          <w:szCs w:val="24"/>
        </w:rPr>
        <w:t xml:space="preserve"> </w:t>
      </w:r>
      <w:r w:rsidR="00D15D1D" w:rsidRPr="00922244">
        <w:rPr>
          <w:szCs w:val="24"/>
        </w:rPr>
        <w:t xml:space="preserve">at the Russian market, suggesting less </w:t>
      </w:r>
      <w:r w:rsidR="00367D4E">
        <w:rPr>
          <w:szCs w:val="24"/>
        </w:rPr>
        <w:t xml:space="preserve">exposure to </w:t>
      </w:r>
      <w:r w:rsidR="0098610A">
        <w:rPr>
          <w:szCs w:val="24"/>
        </w:rPr>
        <w:t xml:space="preserve">changes </w:t>
      </w:r>
      <w:r w:rsidR="00367D4E">
        <w:rPr>
          <w:szCs w:val="24"/>
        </w:rPr>
        <w:t>in commodity prices</w:t>
      </w:r>
      <w:r w:rsidR="00D15D1D" w:rsidRPr="00922244">
        <w:rPr>
          <w:szCs w:val="24"/>
        </w:rPr>
        <w:t xml:space="preserve">. </w:t>
      </w:r>
    </w:p>
    <w:p w:rsidR="00855B38" w:rsidRPr="008143D7" w:rsidRDefault="00855B38" w:rsidP="00855B38">
      <w:pPr>
        <w:tabs>
          <w:tab w:val="left" w:pos="0"/>
        </w:tabs>
        <w:autoSpaceDE w:val="0"/>
        <w:autoSpaceDN w:val="0"/>
        <w:adjustRightInd w:val="0"/>
        <w:spacing w:after="120"/>
        <w:ind w:firstLine="360"/>
        <w:jc w:val="center"/>
        <w:rPr>
          <w:b/>
          <w:sz w:val="20"/>
        </w:rPr>
      </w:pPr>
      <w:r w:rsidRPr="008143D7">
        <w:rPr>
          <w:b/>
          <w:sz w:val="20"/>
        </w:rPr>
        <w:t xml:space="preserve">Figure </w:t>
      </w:r>
      <w:r w:rsidR="00D15D1D" w:rsidRPr="008143D7">
        <w:rPr>
          <w:b/>
          <w:sz w:val="20"/>
        </w:rPr>
        <w:t>6</w:t>
      </w:r>
      <w:r w:rsidRPr="008143D7">
        <w:rPr>
          <w:b/>
          <w:sz w:val="20"/>
        </w:rPr>
        <w:t>: Armeni</w:t>
      </w:r>
      <w:r w:rsidR="00C82FBB" w:rsidRPr="008143D7">
        <w:rPr>
          <w:b/>
          <w:sz w:val="20"/>
        </w:rPr>
        <w:t>a: Structure of External Trade by Type of P</w:t>
      </w:r>
      <w:r w:rsidRPr="008143D7">
        <w:rPr>
          <w:b/>
          <w:sz w:val="20"/>
        </w:rPr>
        <w:t>roducts 2010-2013</w:t>
      </w:r>
    </w:p>
    <w:p w:rsidR="00855B38" w:rsidRPr="00CB299E" w:rsidRDefault="00BC129A" w:rsidP="00855B38">
      <w:pPr>
        <w:tabs>
          <w:tab w:val="left" w:pos="0"/>
        </w:tabs>
        <w:autoSpaceDE w:val="0"/>
        <w:autoSpaceDN w:val="0"/>
        <w:adjustRightInd w:val="0"/>
        <w:spacing w:after="120" w:line="360" w:lineRule="auto"/>
        <w:rPr>
          <w:sz w:val="20"/>
        </w:rPr>
      </w:pPr>
      <w:r>
        <w:rPr>
          <w:rFonts w:ascii="GHEA Grapalat" w:hAnsi="GHEA Grapalat"/>
          <w:noProof/>
          <w:sz w:val="22"/>
          <w:szCs w:val="22"/>
        </w:rPr>
        <mc:AlternateContent>
          <mc:Choice Requires="wpg">
            <w:drawing>
              <wp:anchor distT="0" distB="0" distL="114300" distR="114300" simplePos="0" relativeHeight="251674624" behindDoc="0" locked="0" layoutInCell="1" allowOverlap="1">
                <wp:simplePos x="0" y="0"/>
                <wp:positionH relativeFrom="column">
                  <wp:posOffset>-194310</wp:posOffset>
                </wp:positionH>
                <wp:positionV relativeFrom="paragraph">
                  <wp:posOffset>203835</wp:posOffset>
                </wp:positionV>
                <wp:extent cx="5894070" cy="2129790"/>
                <wp:effectExtent l="0" t="0" r="0" b="3810"/>
                <wp:wrapNone/>
                <wp:docPr id="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070" cy="2129790"/>
                          <a:chOff x="0" y="0"/>
                          <a:chExt cx="13877923" cy="3571875"/>
                        </a:xfrm>
                      </wpg:grpSpPr>
                      <wpg:graphicFrame>
                        <wpg:cNvPr id="27" name="Диаграмма 2"/>
                        <wpg:cNvFrPr/>
                        <wpg:xfrm>
                          <a:off x="0" y="0"/>
                          <a:ext cx="6896100" cy="3543300"/>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28" name="Диаграмма 3"/>
                        <wpg:cNvFrPr/>
                        <wpg:xfrm>
                          <a:off x="6934198" y="9524"/>
                          <a:ext cx="6943725" cy="3562351"/>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5.3pt;margin-top:16.05pt;width:464.1pt;height:167.7pt;z-index:251674624;mso-width-relative:margin;mso-height-relative:margin" coordsize="138779,3571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">
                <v:shape id="Диаграмма 2" o:spid="_x0000_s1027" type="#_x0000_t75" style="position:absolute;width:68896;height:354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">
                  <v:imagedata r:id="rId25" o:title=""/>
                  <o:lock v:ext="edit" aspectratio="f"/>
                </v:shape>
                <v:shape id="Диаграмма 3" o:spid="_x0000_s1028" type="#_x0000_t75" style="position:absolute;left:69326;width:69471;height:3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">
                  <v:imagedata r:id="rId26" o:title=""/>
                  <o:lock v:ext="edit" aspectratio="f"/>
                </v:shape>
              </v:group>
            </w:pict>
          </mc:Fallback>
        </mc:AlternateContent>
      </w:r>
      <w:r w:rsidR="00855B38">
        <w:rPr>
          <w:sz w:val="20"/>
        </w:rPr>
        <w:t xml:space="preserve">       </w:t>
      </w:r>
      <w:r w:rsidR="00D15D1D">
        <w:rPr>
          <w:sz w:val="20"/>
        </w:rPr>
        <w:t xml:space="preserve">                    </w:t>
      </w:r>
      <w:r w:rsidR="00855B38" w:rsidRPr="00CB299E">
        <w:rPr>
          <w:sz w:val="20"/>
        </w:rPr>
        <w:t xml:space="preserve">(a) Exports                                                                            </w:t>
      </w:r>
      <w:r w:rsidR="00855B38">
        <w:rPr>
          <w:sz w:val="20"/>
        </w:rPr>
        <w:t xml:space="preserve"> </w:t>
      </w:r>
      <w:r w:rsidR="00855B38" w:rsidRPr="00CB299E">
        <w:rPr>
          <w:sz w:val="20"/>
        </w:rPr>
        <w:t xml:space="preserve">  (b) Imports</w:t>
      </w:r>
    </w:p>
    <w:p w:rsidR="00855B38" w:rsidRDefault="00855B38" w:rsidP="00855B38">
      <w:pPr>
        <w:tabs>
          <w:tab w:val="left" w:pos="0"/>
        </w:tabs>
        <w:autoSpaceDE w:val="0"/>
        <w:autoSpaceDN w:val="0"/>
        <w:adjustRightInd w:val="0"/>
        <w:spacing w:after="120"/>
        <w:rPr>
          <w:color w:val="FF0000"/>
          <w:szCs w:val="24"/>
        </w:rPr>
      </w:pPr>
    </w:p>
    <w:p w:rsidR="00855B38" w:rsidRDefault="00855B38" w:rsidP="00855B38">
      <w:pPr>
        <w:tabs>
          <w:tab w:val="left" w:pos="0"/>
        </w:tabs>
        <w:autoSpaceDE w:val="0"/>
        <w:autoSpaceDN w:val="0"/>
        <w:adjustRightInd w:val="0"/>
        <w:spacing w:after="120"/>
        <w:rPr>
          <w:color w:val="FF0000"/>
          <w:szCs w:val="24"/>
        </w:rPr>
      </w:pPr>
    </w:p>
    <w:p w:rsidR="00855B38" w:rsidRDefault="00855B38" w:rsidP="00855B38">
      <w:pPr>
        <w:tabs>
          <w:tab w:val="left" w:pos="0"/>
        </w:tabs>
        <w:autoSpaceDE w:val="0"/>
        <w:autoSpaceDN w:val="0"/>
        <w:adjustRightInd w:val="0"/>
        <w:spacing w:after="120"/>
        <w:rPr>
          <w:color w:val="FF0000"/>
          <w:szCs w:val="24"/>
        </w:rPr>
      </w:pPr>
    </w:p>
    <w:p w:rsidR="00855B38" w:rsidRDefault="00855B38" w:rsidP="00855B38">
      <w:pPr>
        <w:tabs>
          <w:tab w:val="left" w:pos="0"/>
        </w:tabs>
        <w:autoSpaceDE w:val="0"/>
        <w:autoSpaceDN w:val="0"/>
        <w:adjustRightInd w:val="0"/>
        <w:spacing w:after="120"/>
        <w:rPr>
          <w:color w:val="FF0000"/>
          <w:szCs w:val="24"/>
        </w:rPr>
      </w:pPr>
    </w:p>
    <w:p w:rsidR="00855B38" w:rsidRPr="007D4A02" w:rsidRDefault="00855B38" w:rsidP="00855B38">
      <w:pPr>
        <w:pStyle w:val="NormalWeb"/>
        <w:spacing w:before="0" w:beforeAutospacing="0" w:after="120" w:afterAutospacing="0"/>
        <w:rPr>
          <w:sz w:val="18"/>
          <w:szCs w:val="18"/>
        </w:rPr>
      </w:pPr>
      <w:r w:rsidRPr="00CB299E">
        <w:rPr>
          <w:sz w:val="18"/>
          <w:szCs w:val="18"/>
        </w:rPr>
        <w:t>Source:</w:t>
      </w:r>
      <w:r w:rsidR="00485ED2">
        <w:rPr>
          <w:sz w:val="18"/>
          <w:szCs w:val="18"/>
        </w:rPr>
        <w:t xml:space="preserve"> Armenia’s </w:t>
      </w:r>
      <w:r>
        <w:rPr>
          <w:sz w:val="18"/>
          <w:szCs w:val="18"/>
        </w:rPr>
        <w:t>N</w:t>
      </w:r>
      <w:r w:rsidR="00A17C40">
        <w:rPr>
          <w:sz w:val="18"/>
          <w:szCs w:val="18"/>
        </w:rPr>
        <w:t xml:space="preserve">ational </w:t>
      </w:r>
      <w:r>
        <w:rPr>
          <w:sz w:val="18"/>
          <w:szCs w:val="18"/>
        </w:rPr>
        <w:t>S</w:t>
      </w:r>
      <w:r w:rsidR="00A17C40">
        <w:rPr>
          <w:sz w:val="18"/>
          <w:szCs w:val="18"/>
        </w:rPr>
        <w:t xml:space="preserve">tatistical </w:t>
      </w:r>
      <w:r>
        <w:rPr>
          <w:sz w:val="18"/>
          <w:szCs w:val="18"/>
        </w:rPr>
        <w:t>S</w:t>
      </w:r>
      <w:r w:rsidR="00A17C40">
        <w:rPr>
          <w:sz w:val="18"/>
          <w:szCs w:val="18"/>
        </w:rPr>
        <w:t>ervice</w:t>
      </w:r>
      <w:r w:rsidRPr="00CB299E">
        <w:rPr>
          <w:sz w:val="18"/>
          <w:szCs w:val="18"/>
        </w:rPr>
        <w:t xml:space="preserve"> and </w:t>
      </w:r>
      <w:r w:rsidR="00760AF1" w:rsidRPr="007D4A02">
        <w:rPr>
          <w:color w:val="000000"/>
          <w:sz w:val="18"/>
          <w:szCs w:val="18"/>
        </w:rPr>
        <w:t>author’s</w:t>
      </w:r>
      <w:r w:rsidR="00760AF1">
        <w:rPr>
          <w:color w:val="000000"/>
          <w:sz w:val="18"/>
          <w:szCs w:val="18"/>
        </w:rPr>
        <w:t xml:space="preserve"> </w:t>
      </w:r>
      <w:r w:rsidR="00760AF1" w:rsidRPr="007D4A02">
        <w:rPr>
          <w:color w:val="000000"/>
          <w:sz w:val="18"/>
          <w:szCs w:val="18"/>
        </w:rPr>
        <w:t>calculations</w:t>
      </w:r>
      <w:r w:rsidRPr="007D4A02">
        <w:rPr>
          <w:color w:val="000000"/>
          <w:sz w:val="18"/>
          <w:szCs w:val="18"/>
        </w:rPr>
        <w:t>.</w:t>
      </w:r>
    </w:p>
    <w:p w:rsidR="007A10A1" w:rsidRDefault="007A10A1" w:rsidP="00855B38">
      <w:pPr>
        <w:pStyle w:val="ListParagraph"/>
        <w:tabs>
          <w:tab w:val="left" w:pos="0"/>
          <w:tab w:val="left" w:pos="360"/>
        </w:tabs>
        <w:autoSpaceDE w:val="0"/>
        <w:autoSpaceDN w:val="0"/>
        <w:adjustRightInd w:val="0"/>
        <w:spacing w:after="120"/>
        <w:ind w:left="0"/>
        <w:jc w:val="both"/>
        <w:rPr>
          <w:b/>
          <w:i/>
          <w:szCs w:val="24"/>
        </w:rPr>
      </w:pPr>
    </w:p>
    <w:p w:rsidR="007A10A1" w:rsidRDefault="007A10A1" w:rsidP="00855B38">
      <w:pPr>
        <w:pStyle w:val="ListParagraph"/>
        <w:tabs>
          <w:tab w:val="left" w:pos="0"/>
          <w:tab w:val="left" w:pos="360"/>
        </w:tabs>
        <w:autoSpaceDE w:val="0"/>
        <w:autoSpaceDN w:val="0"/>
        <w:adjustRightInd w:val="0"/>
        <w:spacing w:after="120"/>
        <w:ind w:left="0"/>
        <w:jc w:val="both"/>
        <w:rPr>
          <w:b/>
          <w:i/>
          <w:szCs w:val="24"/>
        </w:rPr>
      </w:pPr>
    </w:p>
    <w:p w:rsidR="007A10A1" w:rsidRDefault="007A10A1" w:rsidP="00855B38">
      <w:pPr>
        <w:pStyle w:val="ListParagraph"/>
        <w:tabs>
          <w:tab w:val="left" w:pos="0"/>
          <w:tab w:val="left" w:pos="360"/>
        </w:tabs>
        <w:autoSpaceDE w:val="0"/>
        <w:autoSpaceDN w:val="0"/>
        <w:adjustRightInd w:val="0"/>
        <w:spacing w:after="120"/>
        <w:ind w:left="0"/>
        <w:jc w:val="both"/>
        <w:rPr>
          <w:b/>
          <w:i/>
          <w:szCs w:val="24"/>
        </w:rPr>
      </w:pPr>
    </w:p>
    <w:p w:rsidR="007A10A1" w:rsidRDefault="007A10A1" w:rsidP="00855B38">
      <w:pPr>
        <w:pStyle w:val="ListParagraph"/>
        <w:tabs>
          <w:tab w:val="left" w:pos="0"/>
          <w:tab w:val="left" w:pos="360"/>
        </w:tabs>
        <w:autoSpaceDE w:val="0"/>
        <w:autoSpaceDN w:val="0"/>
        <w:adjustRightInd w:val="0"/>
        <w:spacing w:after="120"/>
        <w:ind w:left="0"/>
        <w:jc w:val="both"/>
        <w:rPr>
          <w:b/>
          <w:i/>
          <w:szCs w:val="24"/>
        </w:rPr>
      </w:pPr>
    </w:p>
    <w:p w:rsidR="00600049" w:rsidRDefault="00BC129A" w:rsidP="007A10A1">
      <w:pPr>
        <w:tabs>
          <w:tab w:val="left" w:pos="0"/>
        </w:tabs>
        <w:autoSpaceDE w:val="0"/>
        <w:autoSpaceDN w:val="0"/>
        <w:adjustRightInd w:val="0"/>
        <w:spacing w:after="120"/>
        <w:rPr>
          <w:szCs w:val="24"/>
        </w:rPr>
      </w:pPr>
      <w:r>
        <w:rPr>
          <w:noProof/>
          <w:szCs w:val="24"/>
        </w:rPr>
        <mc:AlternateContent>
          <mc:Choice Requires="wps">
            <w:drawing>
              <wp:anchor distT="0" distB="0" distL="114300" distR="114300" simplePos="0" relativeHeight="251698176" behindDoc="0" locked="0" layoutInCell="1" allowOverlap="1">
                <wp:simplePos x="0" y="0"/>
                <wp:positionH relativeFrom="column">
                  <wp:posOffset>-64135</wp:posOffset>
                </wp:positionH>
                <wp:positionV relativeFrom="paragraph">
                  <wp:posOffset>149860</wp:posOffset>
                </wp:positionV>
                <wp:extent cx="4985385" cy="243840"/>
                <wp:effectExtent l="0" t="0" r="5715" b="3810"/>
                <wp:wrapSquare wrapText="bothSides"/>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5385" cy="243840"/>
                        </a:xfrm>
                        <a:prstGeom prst="rect">
                          <a:avLst/>
                        </a:prstGeom>
                        <a:solidFill>
                          <a:sysClr val="window" lastClr="FFFFFF"/>
                        </a:solidFill>
                        <a:ln w="25400" cap="flat" cmpd="sng" algn="ctr">
                          <a:noFill/>
                          <a:prstDash val="solid"/>
                        </a:ln>
                        <a:effectLst/>
                      </wps:spPr>
                      <wps:txbx>
                        <w:txbxContent>
                          <w:p w:rsidR="001D338C" w:rsidRPr="007D4A02" w:rsidRDefault="001D338C" w:rsidP="00A570D4">
                            <w:pPr>
                              <w:pStyle w:val="NormalWeb"/>
                              <w:spacing w:before="0" w:beforeAutospacing="0" w:after="0" w:afterAutospacing="0"/>
                              <w:rPr>
                                <w:sz w:val="18"/>
                                <w:szCs w:val="18"/>
                              </w:rPr>
                            </w:pPr>
                            <w:r>
                              <w:rPr>
                                <w:color w:val="000000"/>
                                <w:sz w:val="18"/>
                                <w:szCs w:val="18"/>
                              </w:rPr>
                              <w:t>Source: National Statistical Service (NSS) and authors’ calculations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5.05pt;margin-top:11.8pt;width:392.55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" fillcolor="window" stroked="f" strokeweight="2pt">
                <v:path arrowok="t"/>
                <v:textbox>
                  <w:txbxContent>
                    <w:p w:rsidR="001D338C" w:rsidRPr="007D4A02" w:rsidRDefault="001D338C" w:rsidP="00A570D4">
                      <w:pPr>
                        <w:pStyle w:val="NormalWeb"/>
                        <w:spacing w:before="0" w:beforeAutospacing="0" w:after="0" w:afterAutospacing="0"/>
                        <w:rPr>
                          <w:sz w:val="18"/>
                          <w:szCs w:val="18"/>
                        </w:rPr>
                      </w:pPr>
                      <w:r>
                        <w:rPr>
                          <w:color w:val="000000"/>
                          <w:sz w:val="18"/>
                          <w:szCs w:val="18"/>
                        </w:rPr>
                        <w:t>Source: National Statistical Service (NSS) and authors’ calculations</w:t>
                      </w:r>
                    </w:p>
                  </w:txbxContent>
                </v:textbox>
                <w10:wrap type="square"/>
              </v:rect>
            </w:pict>
          </mc:Fallback>
        </mc:AlternateContent>
      </w:r>
    </w:p>
    <w:p w:rsidR="00600049" w:rsidRDefault="00600049" w:rsidP="007A10A1">
      <w:pPr>
        <w:tabs>
          <w:tab w:val="left" w:pos="0"/>
        </w:tabs>
        <w:autoSpaceDE w:val="0"/>
        <w:autoSpaceDN w:val="0"/>
        <w:adjustRightInd w:val="0"/>
        <w:spacing w:after="120"/>
        <w:rPr>
          <w:szCs w:val="24"/>
        </w:rPr>
      </w:pPr>
    </w:p>
    <w:p w:rsidR="00B56701" w:rsidRDefault="00B56701" w:rsidP="007A10A1">
      <w:pPr>
        <w:tabs>
          <w:tab w:val="left" w:pos="0"/>
        </w:tabs>
        <w:autoSpaceDE w:val="0"/>
        <w:autoSpaceDN w:val="0"/>
        <w:adjustRightInd w:val="0"/>
        <w:spacing w:after="120"/>
        <w:rPr>
          <w:szCs w:val="24"/>
        </w:rPr>
      </w:pPr>
      <w:r>
        <w:rPr>
          <w:szCs w:val="24"/>
        </w:rPr>
        <w:t xml:space="preserve">Imports of energy inputs, </w:t>
      </w:r>
      <w:r w:rsidRPr="00922244">
        <w:rPr>
          <w:szCs w:val="24"/>
        </w:rPr>
        <w:t>including natural gas, oil, petroleum products, and nuclear fuel</w:t>
      </w:r>
      <w:r>
        <w:rPr>
          <w:szCs w:val="24"/>
        </w:rPr>
        <w:t xml:space="preserve"> are especially sizeable in Armenia, accounting for XX of total imports. </w:t>
      </w:r>
      <w:r w:rsidR="007A10A1" w:rsidRPr="00922244">
        <w:rPr>
          <w:szCs w:val="24"/>
        </w:rPr>
        <w:t xml:space="preserve">Russia plays a strategic role </w:t>
      </w:r>
      <w:r w:rsidR="00367D4E">
        <w:rPr>
          <w:szCs w:val="24"/>
        </w:rPr>
        <w:t>on</w:t>
      </w:r>
      <w:r w:rsidR="007A10A1" w:rsidRPr="00922244">
        <w:rPr>
          <w:szCs w:val="24"/>
        </w:rPr>
        <w:t xml:space="preserve"> </w:t>
      </w:r>
      <w:r>
        <w:rPr>
          <w:szCs w:val="24"/>
        </w:rPr>
        <w:t xml:space="preserve">its </w:t>
      </w:r>
      <w:r w:rsidR="007A10A1" w:rsidRPr="00922244">
        <w:rPr>
          <w:szCs w:val="24"/>
        </w:rPr>
        <w:t>provision</w:t>
      </w:r>
      <w:r>
        <w:rPr>
          <w:szCs w:val="24"/>
        </w:rPr>
        <w:t>.</w:t>
      </w:r>
      <w:r w:rsidR="007A10A1" w:rsidRPr="00922244">
        <w:rPr>
          <w:szCs w:val="24"/>
        </w:rPr>
        <w:t xml:space="preserve"> </w:t>
      </w:r>
      <w:r>
        <w:rPr>
          <w:szCs w:val="24"/>
        </w:rPr>
        <w:t xml:space="preserve">In fact, </w:t>
      </w:r>
      <w:r w:rsidR="007A10A1" w:rsidRPr="00922244">
        <w:rPr>
          <w:szCs w:val="24"/>
        </w:rPr>
        <w:t xml:space="preserve">Armenia imports 80 percent of its gas from Russia (the remainder is imported from Iran via a gas-for-electricity barter transaction). Furthermore, Armenia has no oil refining capacity, and Russian companies supply most of the petroleum products used in Armenia. </w:t>
      </w:r>
    </w:p>
    <w:p w:rsidR="00FA78E1" w:rsidRDefault="00B56701" w:rsidP="00B56701">
      <w:pPr>
        <w:tabs>
          <w:tab w:val="left" w:pos="0"/>
        </w:tabs>
        <w:autoSpaceDE w:val="0"/>
        <w:autoSpaceDN w:val="0"/>
        <w:adjustRightInd w:val="0"/>
        <w:rPr>
          <w:szCs w:val="24"/>
        </w:rPr>
      </w:pPr>
      <w:r>
        <w:rPr>
          <w:szCs w:val="24"/>
        </w:rPr>
        <w:t xml:space="preserve">However, despite </w:t>
      </w:r>
      <w:r w:rsidRPr="00922244">
        <w:rPr>
          <w:szCs w:val="24"/>
        </w:rPr>
        <w:t xml:space="preserve">Armenia’s </w:t>
      </w:r>
      <w:r>
        <w:rPr>
          <w:szCs w:val="24"/>
        </w:rPr>
        <w:t xml:space="preserve">large energy dependence, the economy exhibits a </w:t>
      </w:r>
      <w:r w:rsidRPr="00922244">
        <w:rPr>
          <w:szCs w:val="24"/>
        </w:rPr>
        <w:t>relative isolation from increases in oil price shocks</w:t>
      </w:r>
      <w:r>
        <w:rPr>
          <w:szCs w:val="24"/>
        </w:rPr>
        <w:t xml:space="preserve">. This is the result of : (i) high level of gasification, because of the favorable taxation enjoyed by </w:t>
      </w:r>
      <w:r w:rsidR="00DB2EAB" w:rsidRPr="00B56701">
        <w:rPr>
          <w:szCs w:val="24"/>
        </w:rPr>
        <w:t xml:space="preserve">CNG/LNG </w:t>
      </w:r>
      <w:r w:rsidR="00F86B29">
        <w:rPr>
          <w:szCs w:val="24"/>
        </w:rPr>
        <w:t xml:space="preserve"> in comparison to other fuels </w:t>
      </w:r>
      <w:r w:rsidR="00DB2EAB">
        <w:rPr>
          <w:szCs w:val="24"/>
        </w:rPr>
        <w:t xml:space="preserve">(e.g. most </w:t>
      </w:r>
      <w:r w:rsidRPr="00B56701">
        <w:rPr>
          <w:szCs w:val="24"/>
        </w:rPr>
        <w:t xml:space="preserve">motor vehicles have switched </w:t>
      </w:r>
      <w:r w:rsidR="00DB2EAB">
        <w:rPr>
          <w:szCs w:val="24"/>
        </w:rPr>
        <w:t xml:space="preserve">from gasoline and diesel to </w:t>
      </w:r>
      <w:r w:rsidRPr="00B56701">
        <w:rPr>
          <w:szCs w:val="24"/>
        </w:rPr>
        <w:t>gas</w:t>
      </w:r>
      <w:r w:rsidR="00DB2EAB">
        <w:rPr>
          <w:szCs w:val="24"/>
        </w:rPr>
        <w:t xml:space="preserve">); (iii) the </w:t>
      </w:r>
      <w:r w:rsidR="007A10A1" w:rsidRPr="00922244">
        <w:rPr>
          <w:szCs w:val="24"/>
        </w:rPr>
        <w:t xml:space="preserve">provision of gas to Armenia has been </w:t>
      </w:r>
      <w:r w:rsidR="00F12076">
        <w:rPr>
          <w:szCs w:val="24"/>
        </w:rPr>
        <w:t xml:space="preserve">typically </w:t>
      </w:r>
      <w:r w:rsidR="007A10A1">
        <w:rPr>
          <w:szCs w:val="24"/>
        </w:rPr>
        <w:t xml:space="preserve">through </w:t>
      </w:r>
      <w:r w:rsidR="007A10A1" w:rsidRPr="00922244">
        <w:rPr>
          <w:szCs w:val="24"/>
        </w:rPr>
        <w:t>five-year agreements</w:t>
      </w:r>
      <w:r w:rsidR="00DB2EAB">
        <w:rPr>
          <w:szCs w:val="24"/>
        </w:rPr>
        <w:t xml:space="preserve">, with pre-agreed gas prices </w:t>
      </w:r>
      <w:r w:rsidR="00F86B29">
        <w:rPr>
          <w:szCs w:val="24"/>
        </w:rPr>
        <w:t xml:space="preserve">that </w:t>
      </w:r>
      <w:r w:rsidR="00DB2EAB">
        <w:rPr>
          <w:szCs w:val="24"/>
        </w:rPr>
        <w:t xml:space="preserve">are maintained during the period; and (iii) </w:t>
      </w:r>
      <w:r w:rsidR="00DB2EAB">
        <w:t xml:space="preserve">the prevalence of non-hydrocarbon energy sources (nuclear, hydroelectric). </w:t>
      </w:r>
      <w:r w:rsidR="008F2664">
        <w:t xml:space="preserve">This implies that, historically, increases in international oil prices </w:t>
      </w:r>
      <w:r w:rsidR="00F86B29">
        <w:t xml:space="preserve">have </w:t>
      </w:r>
      <w:r w:rsidR="008F2664">
        <w:t>not translate</w:t>
      </w:r>
      <w:r w:rsidR="00F86B29">
        <w:t>d</w:t>
      </w:r>
      <w:r w:rsidR="008F2664">
        <w:t xml:space="preserve"> into negative supply shocks in Armenia.</w:t>
      </w:r>
    </w:p>
    <w:p w:rsidR="007A10A1" w:rsidRDefault="007A10A1" w:rsidP="007A10A1">
      <w:pPr>
        <w:tabs>
          <w:tab w:val="left" w:pos="0"/>
        </w:tabs>
        <w:autoSpaceDE w:val="0"/>
        <w:autoSpaceDN w:val="0"/>
        <w:adjustRightInd w:val="0"/>
        <w:spacing w:after="120"/>
        <w:rPr>
          <w:szCs w:val="24"/>
        </w:rPr>
      </w:pPr>
      <w:r w:rsidRPr="00922244">
        <w:rPr>
          <w:szCs w:val="24"/>
        </w:rPr>
        <w:t xml:space="preserve"> </w:t>
      </w:r>
    </w:p>
    <w:p w:rsidR="008F2664" w:rsidRDefault="008F2664" w:rsidP="00855B38">
      <w:pPr>
        <w:pStyle w:val="ListParagraph"/>
        <w:tabs>
          <w:tab w:val="left" w:pos="0"/>
          <w:tab w:val="left" w:pos="360"/>
        </w:tabs>
        <w:autoSpaceDE w:val="0"/>
        <w:autoSpaceDN w:val="0"/>
        <w:adjustRightInd w:val="0"/>
        <w:spacing w:after="120"/>
        <w:ind w:left="0"/>
        <w:jc w:val="both"/>
        <w:rPr>
          <w:b/>
          <w:i/>
          <w:szCs w:val="24"/>
        </w:rPr>
      </w:pPr>
    </w:p>
    <w:p w:rsidR="008F2664" w:rsidRDefault="008F2664" w:rsidP="00855B38">
      <w:pPr>
        <w:pStyle w:val="ListParagraph"/>
        <w:tabs>
          <w:tab w:val="left" w:pos="0"/>
          <w:tab w:val="left" w:pos="360"/>
        </w:tabs>
        <w:autoSpaceDE w:val="0"/>
        <w:autoSpaceDN w:val="0"/>
        <w:adjustRightInd w:val="0"/>
        <w:spacing w:after="120"/>
        <w:ind w:left="0"/>
        <w:jc w:val="both"/>
        <w:rPr>
          <w:b/>
          <w:i/>
          <w:szCs w:val="24"/>
        </w:rPr>
      </w:pPr>
    </w:p>
    <w:p w:rsidR="00855B38" w:rsidRPr="00922244" w:rsidRDefault="00855B38" w:rsidP="00855B38">
      <w:pPr>
        <w:pStyle w:val="ListParagraph"/>
        <w:tabs>
          <w:tab w:val="left" w:pos="0"/>
          <w:tab w:val="left" w:pos="360"/>
        </w:tabs>
        <w:autoSpaceDE w:val="0"/>
        <w:autoSpaceDN w:val="0"/>
        <w:adjustRightInd w:val="0"/>
        <w:spacing w:after="120"/>
        <w:ind w:left="0"/>
        <w:jc w:val="both"/>
        <w:rPr>
          <w:b/>
          <w:i/>
          <w:szCs w:val="24"/>
        </w:rPr>
      </w:pPr>
      <w:r w:rsidRPr="00922244">
        <w:rPr>
          <w:b/>
          <w:i/>
          <w:szCs w:val="24"/>
        </w:rPr>
        <w:lastRenderedPageBreak/>
        <w:t>Remittances</w:t>
      </w:r>
      <w:r w:rsidRPr="00922244">
        <w:rPr>
          <w:rStyle w:val="FootnoteReference"/>
          <w:b/>
          <w:i/>
          <w:szCs w:val="24"/>
        </w:rPr>
        <w:footnoteReference w:id="3"/>
      </w:r>
      <w:r w:rsidRPr="00922244">
        <w:rPr>
          <w:b/>
          <w:i/>
          <w:szCs w:val="24"/>
        </w:rPr>
        <w:t xml:space="preserve"> </w:t>
      </w:r>
    </w:p>
    <w:p w:rsidR="00855B38" w:rsidRDefault="00585CB6" w:rsidP="00855B38">
      <w:pPr>
        <w:tabs>
          <w:tab w:val="left" w:pos="0"/>
        </w:tabs>
        <w:autoSpaceDE w:val="0"/>
        <w:autoSpaceDN w:val="0"/>
        <w:adjustRightInd w:val="0"/>
        <w:spacing w:after="120"/>
        <w:rPr>
          <w:szCs w:val="24"/>
        </w:rPr>
      </w:pPr>
      <w:r>
        <w:rPr>
          <w:szCs w:val="24"/>
        </w:rPr>
        <w:t>Rem</w:t>
      </w:r>
      <w:r w:rsidR="00855B38" w:rsidRPr="00922244">
        <w:rPr>
          <w:szCs w:val="24"/>
        </w:rPr>
        <w:t>ittances, transferred by Armenia’s large diaspora, are another important transmission channel. They have increased significantly</w:t>
      </w:r>
      <w:r>
        <w:rPr>
          <w:szCs w:val="24"/>
        </w:rPr>
        <w:t xml:space="preserve"> since 2004</w:t>
      </w:r>
      <w:r w:rsidR="00855B38" w:rsidRPr="00922244">
        <w:rPr>
          <w:szCs w:val="24"/>
        </w:rPr>
        <w:t xml:space="preserve">, especially from Russia (Figure </w:t>
      </w:r>
      <w:r w:rsidR="00485ED2">
        <w:rPr>
          <w:szCs w:val="24"/>
        </w:rPr>
        <w:t>7</w:t>
      </w:r>
      <w:r w:rsidR="00855B38" w:rsidRPr="00922244">
        <w:rPr>
          <w:szCs w:val="24"/>
        </w:rPr>
        <w:t>)</w:t>
      </w:r>
      <w:r>
        <w:rPr>
          <w:szCs w:val="24"/>
        </w:rPr>
        <w:t>, from which at present originates almost 90 percent of total remittances</w:t>
      </w:r>
      <w:r w:rsidR="00855B38" w:rsidRPr="00922244">
        <w:rPr>
          <w:szCs w:val="24"/>
        </w:rPr>
        <w:t xml:space="preserve">. Although </w:t>
      </w:r>
      <w:r w:rsidR="00F12076">
        <w:rPr>
          <w:szCs w:val="24"/>
        </w:rPr>
        <w:t>remittances</w:t>
      </w:r>
      <w:r w:rsidR="00F12076" w:rsidRPr="00922244">
        <w:rPr>
          <w:szCs w:val="24"/>
        </w:rPr>
        <w:t xml:space="preserve"> </w:t>
      </w:r>
      <w:r w:rsidR="00855B38" w:rsidRPr="00922244">
        <w:rPr>
          <w:szCs w:val="24"/>
        </w:rPr>
        <w:t>have provided a relatively stable source of external financing, they have exhibited significant volatility, notably with the global downturn in 200</w:t>
      </w:r>
      <w:r w:rsidR="00367D4E">
        <w:rPr>
          <w:szCs w:val="24"/>
        </w:rPr>
        <w:t>8-09</w:t>
      </w:r>
      <w:r w:rsidR="00855B38" w:rsidRPr="00922244">
        <w:rPr>
          <w:szCs w:val="24"/>
        </w:rPr>
        <w:t xml:space="preserve">. </w:t>
      </w:r>
      <w:r w:rsidR="00EB183C">
        <w:rPr>
          <w:szCs w:val="24"/>
        </w:rPr>
        <w:t>D</w:t>
      </w:r>
      <w:r w:rsidR="00855B38" w:rsidRPr="00922244">
        <w:rPr>
          <w:szCs w:val="24"/>
        </w:rPr>
        <w:t xml:space="preserve">uring 2010-13, remittances averaged 15-20 percent of GDP, with a </w:t>
      </w:r>
      <w:r w:rsidR="00EB183C">
        <w:rPr>
          <w:szCs w:val="24"/>
        </w:rPr>
        <w:t xml:space="preserve">U.S. dollar </w:t>
      </w:r>
      <w:r w:rsidR="00855B38" w:rsidRPr="00922244">
        <w:rPr>
          <w:szCs w:val="24"/>
        </w:rPr>
        <w:t xml:space="preserve">value </w:t>
      </w:r>
      <w:r w:rsidR="00485ED2">
        <w:rPr>
          <w:szCs w:val="24"/>
        </w:rPr>
        <w:t xml:space="preserve">that is </w:t>
      </w:r>
      <w:r w:rsidR="00855B38" w:rsidRPr="00922244">
        <w:rPr>
          <w:szCs w:val="24"/>
        </w:rPr>
        <w:t xml:space="preserve">22.2 percent higher than total exports, 3.7 times higher than FDI net inflows, and equal to </w:t>
      </w:r>
      <w:r w:rsidR="00E00D24">
        <w:rPr>
          <w:szCs w:val="24"/>
        </w:rPr>
        <w:t>external borrowing</w:t>
      </w:r>
      <w:r w:rsidR="00855B38" w:rsidRPr="00922244">
        <w:rPr>
          <w:szCs w:val="24"/>
        </w:rPr>
        <w:t xml:space="preserve">. Remittances </w:t>
      </w:r>
      <w:r w:rsidR="00EB183C">
        <w:rPr>
          <w:szCs w:val="24"/>
        </w:rPr>
        <w:t xml:space="preserve">are equivalent to </w:t>
      </w:r>
      <w:r w:rsidR="00855B38" w:rsidRPr="00922244">
        <w:rPr>
          <w:szCs w:val="24"/>
        </w:rPr>
        <w:t xml:space="preserve">43 percent of Armenia’s total imports. </w:t>
      </w:r>
    </w:p>
    <w:p w:rsidR="00855B38" w:rsidRPr="008143D7" w:rsidRDefault="00DE1E14" w:rsidP="00855B38">
      <w:pPr>
        <w:tabs>
          <w:tab w:val="left" w:pos="0"/>
        </w:tabs>
        <w:autoSpaceDE w:val="0"/>
        <w:autoSpaceDN w:val="0"/>
        <w:adjustRightInd w:val="0"/>
        <w:spacing w:after="120"/>
        <w:ind w:firstLine="360"/>
        <w:jc w:val="center"/>
        <w:rPr>
          <w:b/>
          <w:sz w:val="20"/>
        </w:rPr>
      </w:pPr>
      <w:r w:rsidRPr="008143D7">
        <w:rPr>
          <w:b/>
          <w:noProof/>
          <w:sz w:val="20"/>
        </w:rPr>
        <w:drawing>
          <wp:anchor distT="0" distB="0" distL="114300" distR="114300" simplePos="0" relativeHeight="251661312" behindDoc="1" locked="0" layoutInCell="1" allowOverlap="1">
            <wp:simplePos x="0" y="0"/>
            <wp:positionH relativeFrom="column">
              <wp:posOffset>95250</wp:posOffset>
            </wp:positionH>
            <wp:positionV relativeFrom="paragraph">
              <wp:posOffset>180975</wp:posOffset>
            </wp:positionV>
            <wp:extent cx="4906645" cy="1951990"/>
            <wp:effectExtent l="19050" t="0" r="8255" b="0"/>
            <wp:wrapTight wrapText="bothSides">
              <wp:wrapPolygon edited="0">
                <wp:start x="-84" y="0"/>
                <wp:lineTo x="-84" y="21291"/>
                <wp:lineTo x="21636" y="21291"/>
                <wp:lineTo x="21636" y="0"/>
                <wp:lineTo x="-84" y="0"/>
              </wp:wrapPolygon>
            </wp:wrapTight>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906645" cy="1951990"/>
                    </a:xfrm>
                    <a:prstGeom prst="rect">
                      <a:avLst/>
                    </a:prstGeom>
                    <a:noFill/>
                    <a:ln w="9525">
                      <a:noFill/>
                      <a:miter lim="800000"/>
                      <a:headEnd/>
                      <a:tailEnd/>
                    </a:ln>
                  </pic:spPr>
                </pic:pic>
              </a:graphicData>
            </a:graphic>
          </wp:anchor>
        </w:drawing>
      </w:r>
      <w:r w:rsidR="00855B38" w:rsidRPr="008143D7">
        <w:rPr>
          <w:b/>
          <w:sz w:val="20"/>
        </w:rPr>
        <w:t xml:space="preserve">Figure </w:t>
      </w:r>
      <w:r w:rsidR="00585CB6" w:rsidRPr="008143D7">
        <w:rPr>
          <w:b/>
          <w:sz w:val="20"/>
        </w:rPr>
        <w:t>7</w:t>
      </w:r>
      <w:r w:rsidR="00855B38" w:rsidRPr="008143D7">
        <w:rPr>
          <w:b/>
          <w:sz w:val="20"/>
        </w:rPr>
        <w:t xml:space="preserve">: </w:t>
      </w:r>
      <w:r w:rsidR="00EF4239" w:rsidRPr="008143D7">
        <w:rPr>
          <w:b/>
          <w:sz w:val="20"/>
        </w:rPr>
        <w:t>Armenia: Remittance Net I</w:t>
      </w:r>
      <w:r w:rsidR="00485ED2" w:rsidRPr="008143D7">
        <w:rPr>
          <w:b/>
          <w:sz w:val="20"/>
        </w:rPr>
        <w:t>n</w:t>
      </w:r>
      <w:r w:rsidR="00855B38" w:rsidRPr="008143D7">
        <w:rPr>
          <w:b/>
          <w:sz w:val="20"/>
        </w:rPr>
        <w:t>flows (</w:t>
      </w:r>
      <w:r w:rsidR="00485ED2" w:rsidRPr="008143D7">
        <w:rPr>
          <w:b/>
          <w:sz w:val="20"/>
        </w:rPr>
        <w:t xml:space="preserve">In </w:t>
      </w:r>
      <w:r w:rsidR="00855B38" w:rsidRPr="008143D7">
        <w:rPr>
          <w:b/>
          <w:sz w:val="20"/>
        </w:rPr>
        <w:t xml:space="preserve">million </w:t>
      </w:r>
      <w:r w:rsidR="00EF4239" w:rsidRPr="008143D7">
        <w:rPr>
          <w:b/>
          <w:sz w:val="20"/>
        </w:rPr>
        <w:t>of Armenian drams</w:t>
      </w:r>
      <w:r w:rsidR="00855B38" w:rsidRPr="008143D7">
        <w:rPr>
          <w:b/>
          <w:sz w:val="20"/>
        </w:rPr>
        <w:t>)</w:t>
      </w:r>
    </w:p>
    <w:p w:rsidR="00514B0A" w:rsidRDefault="00514B0A"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D20873" w:rsidRDefault="00D20873" w:rsidP="00855B38">
      <w:pPr>
        <w:tabs>
          <w:tab w:val="left" w:pos="0"/>
        </w:tabs>
        <w:autoSpaceDE w:val="0"/>
        <w:autoSpaceDN w:val="0"/>
        <w:adjustRightInd w:val="0"/>
        <w:spacing w:after="120"/>
        <w:jc w:val="both"/>
        <w:rPr>
          <w:sz w:val="18"/>
          <w:szCs w:val="18"/>
        </w:rPr>
      </w:pPr>
    </w:p>
    <w:p w:rsidR="00855B38" w:rsidRPr="004A135D" w:rsidRDefault="00855B38" w:rsidP="00855B38">
      <w:pPr>
        <w:tabs>
          <w:tab w:val="left" w:pos="0"/>
        </w:tabs>
        <w:autoSpaceDE w:val="0"/>
        <w:autoSpaceDN w:val="0"/>
        <w:adjustRightInd w:val="0"/>
        <w:spacing w:after="120"/>
        <w:jc w:val="both"/>
        <w:rPr>
          <w:sz w:val="18"/>
          <w:szCs w:val="18"/>
        </w:rPr>
      </w:pPr>
      <w:r w:rsidRPr="004A135D">
        <w:rPr>
          <w:sz w:val="18"/>
          <w:szCs w:val="18"/>
        </w:rPr>
        <w:t>Source: Central Bank of Armenia</w:t>
      </w:r>
      <w:r>
        <w:rPr>
          <w:sz w:val="18"/>
          <w:szCs w:val="18"/>
        </w:rPr>
        <w:t xml:space="preserve"> (CBA).</w:t>
      </w:r>
    </w:p>
    <w:p w:rsidR="007B47A3" w:rsidRDefault="00855B38" w:rsidP="00855B38">
      <w:pPr>
        <w:pStyle w:val="ListParagraph"/>
        <w:tabs>
          <w:tab w:val="left" w:pos="0"/>
          <w:tab w:val="left" w:pos="360"/>
        </w:tabs>
        <w:autoSpaceDE w:val="0"/>
        <w:autoSpaceDN w:val="0"/>
        <w:adjustRightInd w:val="0"/>
        <w:spacing w:after="120"/>
        <w:ind w:left="0"/>
        <w:rPr>
          <w:szCs w:val="24"/>
        </w:rPr>
      </w:pPr>
      <w:r w:rsidRPr="00922244">
        <w:rPr>
          <w:szCs w:val="24"/>
        </w:rPr>
        <w:t>Historically, Armenian remittances ha</w:t>
      </w:r>
      <w:r w:rsidR="00585CB6">
        <w:rPr>
          <w:szCs w:val="24"/>
        </w:rPr>
        <w:t xml:space="preserve">ve exhibited a growth </w:t>
      </w:r>
      <w:r w:rsidRPr="00922244">
        <w:rPr>
          <w:szCs w:val="24"/>
        </w:rPr>
        <w:t>rate that is highly correlated with Russian nominal GDP growth</w:t>
      </w:r>
      <w:r w:rsidR="00585CB6">
        <w:rPr>
          <w:szCs w:val="24"/>
        </w:rPr>
        <w:t xml:space="preserve"> (Figure 8)</w:t>
      </w:r>
      <w:r w:rsidRPr="00922244">
        <w:rPr>
          <w:szCs w:val="24"/>
        </w:rPr>
        <w:t xml:space="preserve">. </w:t>
      </w:r>
      <w:r w:rsidR="00594407">
        <w:rPr>
          <w:szCs w:val="24"/>
        </w:rPr>
        <w:t>T</w:t>
      </w:r>
      <w:r w:rsidRPr="00922244">
        <w:rPr>
          <w:szCs w:val="24"/>
        </w:rPr>
        <w:t xml:space="preserve">his correlation has strengthened even further since the </w:t>
      </w:r>
      <w:r w:rsidR="00E00D24">
        <w:rPr>
          <w:szCs w:val="24"/>
        </w:rPr>
        <w:t xml:space="preserve">global </w:t>
      </w:r>
      <w:r w:rsidRPr="00922244">
        <w:rPr>
          <w:szCs w:val="24"/>
        </w:rPr>
        <w:t>crisis</w:t>
      </w:r>
      <w:r w:rsidR="00E00D24">
        <w:rPr>
          <w:szCs w:val="24"/>
        </w:rPr>
        <w:t xml:space="preserve"> of 2008-09</w:t>
      </w:r>
      <w:r w:rsidR="00585CB6">
        <w:rPr>
          <w:szCs w:val="24"/>
        </w:rPr>
        <w:t>, reaching</w:t>
      </w:r>
      <w:r w:rsidRPr="00922244">
        <w:rPr>
          <w:szCs w:val="24"/>
        </w:rPr>
        <w:t xml:space="preserve"> 0.</w:t>
      </w:r>
      <w:r>
        <w:rPr>
          <w:szCs w:val="24"/>
        </w:rPr>
        <w:t>95</w:t>
      </w:r>
      <w:r w:rsidRPr="00922244">
        <w:rPr>
          <w:szCs w:val="24"/>
        </w:rPr>
        <w:t xml:space="preserve"> </w:t>
      </w:r>
      <w:r w:rsidR="00585CB6">
        <w:rPr>
          <w:szCs w:val="24"/>
        </w:rPr>
        <w:t xml:space="preserve">in the period </w:t>
      </w:r>
      <w:r w:rsidRPr="00922244">
        <w:rPr>
          <w:szCs w:val="24"/>
        </w:rPr>
        <w:t>200</w:t>
      </w:r>
      <w:r>
        <w:rPr>
          <w:szCs w:val="24"/>
        </w:rPr>
        <w:t>9</w:t>
      </w:r>
      <w:r w:rsidRPr="00922244">
        <w:rPr>
          <w:szCs w:val="24"/>
        </w:rPr>
        <w:t>–2013</w:t>
      </w:r>
      <w:r w:rsidR="00585CB6">
        <w:rPr>
          <w:szCs w:val="24"/>
        </w:rPr>
        <w:t xml:space="preserve">. </w:t>
      </w:r>
    </w:p>
    <w:p w:rsidR="00130DC1" w:rsidRDefault="00EB183C" w:rsidP="00130DC1">
      <w:pPr>
        <w:pStyle w:val="ListParagraph"/>
        <w:tabs>
          <w:tab w:val="left" w:pos="0"/>
          <w:tab w:val="left" w:pos="360"/>
        </w:tabs>
        <w:autoSpaceDE w:val="0"/>
        <w:autoSpaceDN w:val="0"/>
        <w:adjustRightInd w:val="0"/>
        <w:spacing w:after="120"/>
        <w:ind w:left="0"/>
        <w:rPr>
          <w:color w:val="000000" w:themeColor="text1"/>
          <w:szCs w:val="24"/>
        </w:rPr>
      </w:pPr>
      <w:r>
        <w:rPr>
          <w:szCs w:val="24"/>
        </w:rPr>
        <w:t xml:space="preserve">Growth of </w:t>
      </w:r>
      <w:r w:rsidR="00855B38" w:rsidRPr="00922244">
        <w:rPr>
          <w:szCs w:val="24"/>
        </w:rPr>
        <w:t xml:space="preserve">remittances has </w:t>
      </w:r>
      <w:r w:rsidR="00B367C8">
        <w:rPr>
          <w:szCs w:val="24"/>
        </w:rPr>
        <w:t xml:space="preserve">also </w:t>
      </w:r>
      <w:r>
        <w:rPr>
          <w:szCs w:val="24"/>
        </w:rPr>
        <w:t xml:space="preserve">shown </w:t>
      </w:r>
      <w:r w:rsidR="00B367C8">
        <w:rPr>
          <w:szCs w:val="24"/>
        </w:rPr>
        <w:t xml:space="preserve">a high </w:t>
      </w:r>
      <w:r w:rsidR="00855B38" w:rsidRPr="00922244">
        <w:rPr>
          <w:szCs w:val="24"/>
        </w:rPr>
        <w:t>correlat</w:t>
      </w:r>
      <w:r w:rsidR="00B367C8">
        <w:rPr>
          <w:szCs w:val="24"/>
        </w:rPr>
        <w:t xml:space="preserve">ion </w:t>
      </w:r>
      <w:r w:rsidR="00855B38" w:rsidRPr="00922244">
        <w:rPr>
          <w:szCs w:val="24"/>
        </w:rPr>
        <w:t>with Armenian GDP growth</w:t>
      </w:r>
      <w:r w:rsidR="00855B38">
        <w:rPr>
          <w:szCs w:val="24"/>
        </w:rPr>
        <w:t xml:space="preserve"> </w:t>
      </w:r>
      <w:r w:rsidR="00855B38" w:rsidRPr="00DA21CA">
        <w:rPr>
          <w:color w:val="000000" w:themeColor="text1"/>
          <w:szCs w:val="24"/>
        </w:rPr>
        <w:t xml:space="preserve">(Figure </w:t>
      </w:r>
      <w:r w:rsidR="00B367C8">
        <w:rPr>
          <w:color w:val="000000" w:themeColor="text1"/>
          <w:szCs w:val="24"/>
        </w:rPr>
        <w:t>9</w:t>
      </w:r>
      <w:r w:rsidR="00855B38" w:rsidRPr="00DA21CA">
        <w:rPr>
          <w:color w:val="000000" w:themeColor="text1"/>
          <w:szCs w:val="24"/>
        </w:rPr>
        <w:t>)</w:t>
      </w:r>
      <w:r w:rsidR="00126535" w:rsidRPr="00126535">
        <w:rPr>
          <w:color w:val="000000" w:themeColor="text1"/>
          <w:szCs w:val="24"/>
        </w:rPr>
        <w:t>.</w:t>
      </w:r>
      <w:r w:rsidR="006740C8">
        <w:rPr>
          <w:color w:val="000000" w:themeColor="text1"/>
          <w:szCs w:val="24"/>
        </w:rPr>
        <w:t xml:space="preserve"> </w:t>
      </w: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r>
        <w:rPr>
          <w:noProof/>
          <w:color w:val="000000" w:themeColor="text1"/>
          <w:szCs w:val="24"/>
        </w:rPr>
        <w:drawing>
          <wp:anchor distT="0" distB="0" distL="114300" distR="114300" simplePos="0" relativeHeight="251710464" behindDoc="1" locked="0" layoutInCell="1" allowOverlap="1">
            <wp:simplePos x="0" y="0"/>
            <wp:positionH relativeFrom="column">
              <wp:posOffset>2681605</wp:posOffset>
            </wp:positionH>
            <wp:positionV relativeFrom="paragraph">
              <wp:posOffset>34925</wp:posOffset>
            </wp:positionV>
            <wp:extent cx="2633345" cy="1869440"/>
            <wp:effectExtent l="19050" t="0" r="0" b="0"/>
            <wp:wrapTight wrapText="bothSides">
              <wp:wrapPolygon edited="0">
                <wp:start x="-156" y="0"/>
                <wp:lineTo x="-156" y="21351"/>
                <wp:lineTo x="21564" y="21351"/>
                <wp:lineTo x="21564" y="0"/>
                <wp:lineTo x="-156" y="0"/>
              </wp:wrapPolygon>
            </wp:wrapTight>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633345" cy="1869440"/>
                    </a:xfrm>
                    <a:prstGeom prst="rect">
                      <a:avLst/>
                    </a:prstGeom>
                    <a:noFill/>
                    <a:ln w="9525">
                      <a:noFill/>
                      <a:miter lim="800000"/>
                      <a:headEnd/>
                      <a:tailEnd/>
                    </a:ln>
                  </pic:spPr>
                </pic:pic>
              </a:graphicData>
            </a:graphic>
          </wp:anchor>
        </w:drawing>
      </w:r>
      <w:r>
        <w:rPr>
          <w:noProof/>
          <w:color w:val="000000" w:themeColor="text1"/>
          <w:szCs w:val="24"/>
        </w:rPr>
        <w:drawing>
          <wp:anchor distT="0" distB="0" distL="114300" distR="114300" simplePos="0" relativeHeight="251680768" behindDoc="1" locked="0" layoutInCell="1" allowOverlap="1">
            <wp:simplePos x="0" y="0"/>
            <wp:positionH relativeFrom="column">
              <wp:posOffset>-53340</wp:posOffset>
            </wp:positionH>
            <wp:positionV relativeFrom="paragraph">
              <wp:posOffset>34925</wp:posOffset>
            </wp:positionV>
            <wp:extent cx="2649855" cy="1869440"/>
            <wp:effectExtent l="19050" t="0" r="0" b="0"/>
            <wp:wrapTight wrapText="bothSides">
              <wp:wrapPolygon edited="0">
                <wp:start x="-155" y="0"/>
                <wp:lineTo x="-155" y="21351"/>
                <wp:lineTo x="21584" y="21351"/>
                <wp:lineTo x="21584" y="0"/>
                <wp:lineTo x="-155" y="0"/>
              </wp:wrapPolygon>
            </wp:wrapTight>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2649855" cy="1869440"/>
                    </a:xfrm>
                    <a:prstGeom prst="rect">
                      <a:avLst/>
                    </a:prstGeom>
                    <a:noFill/>
                    <a:ln w="9525">
                      <a:noFill/>
                      <a:miter lim="800000"/>
                      <a:headEnd/>
                      <a:tailEnd/>
                    </a:ln>
                  </pic:spPr>
                </pic:pic>
              </a:graphicData>
            </a:graphic>
          </wp:anchor>
        </w:drawing>
      </w: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5D39B6" w:rsidP="00130DC1">
      <w:pPr>
        <w:pStyle w:val="ListParagraph"/>
        <w:tabs>
          <w:tab w:val="left" w:pos="0"/>
          <w:tab w:val="left" w:pos="360"/>
        </w:tabs>
        <w:autoSpaceDE w:val="0"/>
        <w:autoSpaceDN w:val="0"/>
        <w:adjustRightInd w:val="0"/>
        <w:spacing w:after="120"/>
        <w:ind w:left="0"/>
        <w:rPr>
          <w:color w:val="000000" w:themeColor="text1"/>
          <w:szCs w:val="24"/>
        </w:rPr>
      </w:pPr>
    </w:p>
    <w:p w:rsidR="005D39B6" w:rsidRDefault="00BC129A" w:rsidP="00130DC1">
      <w:pPr>
        <w:pStyle w:val="ListParagraph"/>
        <w:tabs>
          <w:tab w:val="left" w:pos="0"/>
          <w:tab w:val="left" w:pos="360"/>
        </w:tabs>
        <w:autoSpaceDE w:val="0"/>
        <w:autoSpaceDN w:val="0"/>
        <w:adjustRightInd w:val="0"/>
        <w:spacing w:after="120"/>
        <w:ind w:left="0"/>
        <w:rPr>
          <w:color w:val="000000" w:themeColor="text1"/>
          <w:szCs w:val="24"/>
        </w:rPr>
      </w:pPr>
      <w:r>
        <w:rPr>
          <w:rFonts w:ascii="GHEA Grapalat" w:hAnsi="GHEA Grapalat"/>
          <w:noProof/>
          <w:sz w:val="22"/>
          <w:szCs w:val="22"/>
        </w:rPr>
        <mc:AlternateContent>
          <mc:Choice Requires="wps">
            <w:drawing>
              <wp:anchor distT="0" distB="0" distL="114300" distR="114300" simplePos="0" relativeHeight="251679744" behindDoc="0" locked="0" layoutInCell="1" allowOverlap="1">
                <wp:simplePos x="0" y="0"/>
                <wp:positionH relativeFrom="column">
                  <wp:posOffset>2773680</wp:posOffset>
                </wp:positionH>
                <wp:positionV relativeFrom="paragraph">
                  <wp:posOffset>231775</wp:posOffset>
                </wp:positionV>
                <wp:extent cx="2763520" cy="247650"/>
                <wp:effectExtent l="0" t="0" r="0" b="0"/>
                <wp:wrapSquare wrapText="bothSides"/>
                <wp:docPr id="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520" cy="247650"/>
                        </a:xfrm>
                        <a:prstGeom prst="rect">
                          <a:avLst/>
                        </a:prstGeom>
                        <a:solidFill>
                          <a:sysClr val="window" lastClr="FFFFFF"/>
                        </a:solidFill>
                        <a:ln w="25400" cap="flat" cmpd="sng" algn="ctr">
                          <a:noFill/>
                          <a:prstDash val="solid"/>
                        </a:ln>
                        <a:effectLst/>
                      </wps:spPr>
                      <wps:txbx>
                        <w:txbxContent>
                          <w:p w:rsidR="001D338C" w:rsidRDefault="001D338C" w:rsidP="00855B38">
                            <w:pPr>
                              <w:pStyle w:val="NormalWeb"/>
                              <w:spacing w:before="0" w:beforeAutospacing="0" w:after="0" w:afterAutospacing="0"/>
                            </w:pPr>
                            <w:r w:rsidRPr="006264A5">
                              <w:rPr>
                                <w:color w:val="000000"/>
                                <w:sz w:val="18"/>
                                <w:szCs w:val="18"/>
                              </w:rPr>
                              <w:t xml:space="preserve">Source: </w:t>
                            </w:r>
                            <w:r>
                              <w:rPr>
                                <w:color w:val="000000"/>
                                <w:sz w:val="18"/>
                                <w:szCs w:val="18"/>
                              </w:rPr>
                              <w:t>Armenia’s National Statistical Service.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218.4pt;margin-top:18.25pt;width:217.6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" fillcolor="window" stroked="f" strokeweight="2pt">
                <v:path arrowok="t"/>
                <v:textbox>
                  <w:txbxContent>
                    <w:p w:rsidR="001D338C" w:rsidRDefault="001D338C" w:rsidP="00855B38">
                      <w:pPr>
                        <w:pStyle w:val="NormalWeb"/>
                        <w:spacing w:before="0" w:beforeAutospacing="0" w:after="0" w:afterAutospacing="0"/>
                      </w:pPr>
                      <w:r w:rsidRPr="006264A5">
                        <w:rPr>
                          <w:color w:val="000000"/>
                          <w:sz w:val="18"/>
                          <w:szCs w:val="18"/>
                        </w:rPr>
                        <w:t xml:space="preserve">Source: </w:t>
                      </w:r>
                      <w:r>
                        <w:rPr>
                          <w:color w:val="000000"/>
                          <w:sz w:val="18"/>
                          <w:szCs w:val="18"/>
                        </w:rPr>
                        <w:t>Armenia’s National Statistical Service.</w:t>
                      </w:r>
                    </w:p>
                  </w:txbxContent>
                </v:textbox>
                <w10:wrap type="square"/>
              </v:rect>
            </w:pict>
          </mc:Fallback>
        </mc:AlternateContent>
      </w:r>
      <w:r>
        <w:rPr>
          <w:rFonts w:ascii="GHEA Grapalat" w:hAnsi="GHEA Grapalat"/>
          <w:noProof/>
          <w:sz w:val="22"/>
          <w:szCs w:val="22"/>
        </w:rPr>
        <mc:AlternateContent>
          <mc:Choice Requires="wps">
            <w:drawing>
              <wp:anchor distT="0" distB="0" distL="114300" distR="114300" simplePos="0" relativeHeight="251677696" behindDoc="0" locked="0" layoutInCell="1" allowOverlap="1">
                <wp:simplePos x="0" y="0"/>
                <wp:positionH relativeFrom="column">
                  <wp:posOffset>-38735</wp:posOffset>
                </wp:positionH>
                <wp:positionV relativeFrom="paragraph">
                  <wp:posOffset>84455</wp:posOffset>
                </wp:positionV>
                <wp:extent cx="2670810" cy="394970"/>
                <wp:effectExtent l="0" t="0" r="0" b="5080"/>
                <wp:wrapSquare wrapText="bothSides"/>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0810" cy="394970"/>
                        </a:xfrm>
                        <a:prstGeom prst="rect">
                          <a:avLst/>
                        </a:prstGeom>
                        <a:solidFill>
                          <a:sysClr val="window" lastClr="FFFFFF"/>
                        </a:solidFill>
                        <a:ln w="25400" cap="flat" cmpd="sng" algn="ctr">
                          <a:noFill/>
                          <a:prstDash val="solid"/>
                        </a:ln>
                        <a:effectLst/>
                      </wps:spPr>
                      <wps:txbx>
                        <w:txbxContent>
                          <w:p w:rsidR="001D338C" w:rsidRDefault="001D338C" w:rsidP="00855B38">
                            <w:pPr>
                              <w:pStyle w:val="NormalWeb"/>
                              <w:spacing w:before="0" w:beforeAutospacing="0" w:after="0" w:afterAutospacing="0"/>
                            </w:pPr>
                            <w:r w:rsidRPr="006264A5">
                              <w:rPr>
                                <w:color w:val="000000"/>
                                <w:sz w:val="18"/>
                                <w:szCs w:val="18"/>
                              </w:rPr>
                              <w:t xml:space="preserve">Source: </w:t>
                            </w:r>
                            <w:r>
                              <w:rPr>
                                <w:color w:val="000000"/>
                                <w:sz w:val="18"/>
                                <w:szCs w:val="18"/>
                              </w:rPr>
                              <w:t>Federal State Statistics Service of Russia and Central Bank of Armenia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3.05pt;margin-top:6.65pt;width:210.3pt;height:3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" fillcolor="window" stroked="f" strokeweight="2pt">
                <v:path arrowok="t"/>
                <v:textbox>
                  <w:txbxContent>
                    <w:p w:rsidR="001D338C" w:rsidRDefault="001D338C" w:rsidP="00855B38">
                      <w:pPr>
                        <w:pStyle w:val="NormalWeb"/>
                        <w:spacing w:before="0" w:beforeAutospacing="0" w:after="0" w:afterAutospacing="0"/>
                      </w:pPr>
                      <w:r w:rsidRPr="006264A5">
                        <w:rPr>
                          <w:color w:val="000000"/>
                          <w:sz w:val="18"/>
                          <w:szCs w:val="18"/>
                        </w:rPr>
                        <w:t xml:space="preserve">Source: </w:t>
                      </w:r>
                      <w:r>
                        <w:rPr>
                          <w:color w:val="000000"/>
                          <w:sz w:val="18"/>
                          <w:szCs w:val="18"/>
                        </w:rPr>
                        <w:t>Federal State Statistics Service of Russia and Central Bank of Armenia</w:t>
                      </w:r>
                    </w:p>
                  </w:txbxContent>
                </v:textbox>
                <w10:wrap type="square"/>
              </v:rect>
            </w:pict>
          </mc:Fallback>
        </mc:AlternateContent>
      </w:r>
    </w:p>
    <w:p w:rsidR="00855B38" w:rsidRPr="00922244" w:rsidRDefault="00855B38" w:rsidP="008F2664">
      <w:pPr>
        <w:pStyle w:val="ListParagraph"/>
        <w:tabs>
          <w:tab w:val="left" w:pos="0"/>
          <w:tab w:val="left" w:pos="360"/>
        </w:tabs>
        <w:autoSpaceDE w:val="0"/>
        <w:autoSpaceDN w:val="0"/>
        <w:adjustRightInd w:val="0"/>
        <w:spacing w:after="120"/>
        <w:ind w:left="0"/>
        <w:rPr>
          <w:b/>
          <w:i/>
          <w:color w:val="000000"/>
          <w:szCs w:val="24"/>
        </w:rPr>
      </w:pPr>
      <w:r w:rsidRPr="00922244">
        <w:rPr>
          <w:b/>
          <w:i/>
          <w:szCs w:val="24"/>
        </w:rPr>
        <w:lastRenderedPageBreak/>
        <w:t>Capital account</w:t>
      </w:r>
    </w:p>
    <w:p w:rsidR="000B4F9F" w:rsidRDefault="005B2920" w:rsidP="00855B38">
      <w:pPr>
        <w:tabs>
          <w:tab w:val="left" w:pos="0"/>
        </w:tabs>
        <w:autoSpaceDE w:val="0"/>
        <w:autoSpaceDN w:val="0"/>
        <w:adjustRightInd w:val="0"/>
        <w:spacing w:after="120"/>
        <w:rPr>
          <w:color w:val="000000"/>
          <w:szCs w:val="24"/>
        </w:rPr>
      </w:pPr>
      <w:r>
        <w:rPr>
          <w:color w:val="000000"/>
          <w:szCs w:val="24"/>
        </w:rPr>
        <w:t xml:space="preserve">Another </w:t>
      </w:r>
      <w:r w:rsidR="005E2AD0">
        <w:rPr>
          <w:color w:val="000000"/>
          <w:szCs w:val="24"/>
        </w:rPr>
        <w:t xml:space="preserve">important </w:t>
      </w:r>
      <w:r>
        <w:rPr>
          <w:color w:val="000000"/>
          <w:szCs w:val="24"/>
        </w:rPr>
        <w:t xml:space="preserve">transmission </w:t>
      </w:r>
      <w:r w:rsidR="00855B38" w:rsidRPr="00922244">
        <w:rPr>
          <w:color w:val="000000"/>
          <w:szCs w:val="24"/>
        </w:rPr>
        <w:t xml:space="preserve">channel is the capital account. </w:t>
      </w:r>
      <w:r w:rsidR="00765EC2" w:rsidRPr="00922244">
        <w:rPr>
          <w:color w:val="000000"/>
          <w:szCs w:val="24"/>
        </w:rPr>
        <w:t xml:space="preserve">Armenia has </w:t>
      </w:r>
      <w:r w:rsidR="00765EC2">
        <w:rPr>
          <w:color w:val="000000"/>
          <w:szCs w:val="24"/>
        </w:rPr>
        <w:t xml:space="preserve">an </w:t>
      </w:r>
      <w:r w:rsidR="00765EC2" w:rsidRPr="00922244">
        <w:rPr>
          <w:color w:val="000000"/>
          <w:szCs w:val="24"/>
        </w:rPr>
        <w:t>open capital account</w:t>
      </w:r>
      <w:r w:rsidR="00765EC2">
        <w:rPr>
          <w:color w:val="000000"/>
          <w:szCs w:val="24"/>
        </w:rPr>
        <w:t xml:space="preserve">, </w:t>
      </w:r>
      <w:r w:rsidR="00765EC2" w:rsidRPr="00922244">
        <w:rPr>
          <w:color w:val="000000"/>
          <w:szCs w:val="24"/>
        </w:rPr>
        <w:t>critical to financ</w:t>
      </w:r>
      <w:r w:rsidR="00765EC2">
        <w:rPr>
          <w:color w:val="000000"/>
          <w:szCs w:val="24"/>
        </w:rPr>
        <w:t xml:space="preserve">ing </w:t>
      </w:r>
      <w:r w:rsidR="00765EC2" w:rsidRPr="00922244">
        <w:rPr>
          <w:color w:val="000000"/>
          <w:szCs w:val="24"/>
        </w:rPr>
        <w:t xml:space="preserve">Armenia’s large </w:t>
      </w:r>
      <w:r w:rsidR="00765EC2">
        <w:rPr>
          <w:color w:val="000000"/>
          <w:szCs w:val="24"/>
        </w:rPr>
        <w:t xml:space="preserve">external </w:t>
      </w:r>
      <w:r w:rsidR="00765EC2" w:rsidRPr="00922244">
        <w:rPr>
          <w:color w:val="000000"/>
          <w:szCs w:val="24"/>
        </w:rPr>
        <w:t xml:space="preserve">current </w:t>
      </w:r>
      <w:r w:rsidR="00765EC2">
        <w:rPr>
          <w:color w:val="000000"/>
          <w:szCs w:val="24"/>
        </w:rPr>
        <w:t>account deficit</w:t>
      </w:r>
      <w:r w:rsidR="00765EC2" w:rsidRPr="00922244">
        <w:rPr>
          <w:color w:val="000000"/>
          <w:szCs w:val="24"/>
        </w:rPr>
        <w:t xml:space="preserve">. </w:t>
      </w:r>
      <w:r w:rsidR="00855B38" w:rsidRPr="00922244">
        <w:rPr>
          <w:color w:val="000000"/>
          <w:szCs w:val="24"/>
        </w:rPr>
        <w:t xml:space="preserve">The main items of the capital </w:t>
      </w:r>
      <w:r w:rsidR="005E2AD0" w:rsidRPr="00922244">
        <w:rPr>
          <w:color w:val="000000"/>
          <w:szCs w:val="24"/>
        </w:rPr>
        <w:t>account</w:t>
      </w:r>
      <w:r w:rsidR="005E2AD0">
        <w:rPr>
          <w:color w:val="000000"/>
          <w:szCs w:val="24"/>
        </w:rPr>
        <w:t xml:space="preserve"> </w:t>
      </w:r>
      <w:r w:rsidR="00855B38" w:rsidRPr="00922244">
        <w:rPr>
          <w:color w:val="000000"/>
          <w:szCs w:val="24"/>
        </w:rPr>
        <w:t>are FDI net inflows and external borrowing</w:t>
      </w:r>
      <w:r w:rsidR="00144012">
        <w:rPr>
          <w:color w:val="000000"/>
          <w:szCs w:val="24"/>
        </w:rPr>
        <w:t xml:space="preserve">. Historically, both of them have played an important role in providing funding to Armenian public and private sectors. </w:t>
      </w:r>
      <w:r w:rsidR="005E2AD0">
        <w:rPr>
          <w:color w:val="000000"/>
          <w:szCs w:val="24"/>
        </w:rPr>
        <w:t>P</w:t>
      </w:r>
      <w:r w:rsidR="00855B38" w:rsidRPr="00922244">
        <w:rPr>
          <w:color w:val="000000"/>
          <w:szCs w:val="24"/>
        </w:rPr>
        <w:t>ortfolio investment has been negligible</w:t>
      </w:r>
      <w:r w:rsidR="00927516">
        <w:rPr>
          <w:color w:val="000000"/>
          <w:szCs w:val="24"/>
        </w:rPr>
        <w:t>, except for the recent issuance of Armenia’s debut Eurobond in late 2013</w:t>
      </w:r>
      <w:r>
        <w:rPr>
          <w:color w:val="000000"/>
          <w:szCs w:val="24"/>
        </w:rPr>
        <w:t xml:space="preserve"> (Figure 10)</w:t>
      </w:r>
      <w:r w:rsidR="00855B38" w:rsidRPr="00922244">
        <w:rPr>
          <w:color w:val="000000"/>
          <w:szCs w:val="24"/>
        </w:rPr>
        <w:t>.</w:t>
      </w:r>
    </w:p>
    <w:p w:rsidR="000B4F9F" w:rsidRPr="008143D7" w:rsidRDefault="00F46C42" w:rsidP="000B4F9F">
      <w:pPr>
        <w:tabs>
          <w:tab w:val="left" w:pos="0"/>
        </w:tabs>
        <w:autoSpaceDE w:val="0"/>
        <w:autoSpaceDN w:val="0"/>
        <w:adjustRightInd w:val="0"/>
        <w:spacing w:after="120"/>
        <w:ind w:firstLine="360"/>
        <w:jc w:val="center"/>
        <w:rPr>
          <w:b/>
          <w:sz w:val="20"/>
        </w:rPr>
      </w:pPr>
      <w:r>
        <w:rPr>
          <w:b/>
          <w:noProof/>
          <w:sz w:val="20"/>
        </w:rPr>
        <w:drawing>
          <wp:anchor distT="0" distB="0" distL="114300" distR="114300" simplePos="0" relativeHeight="251696128" behindDoc="1" locked="0" layoutInCell="1" allowOverlap="1">
            <wp:simplePos x="0" y="0"/>
            <wp:positionH relativeFrom="column">
              <wp:posOffset>4445</wp:posOffset>
            </wp:positionH>
            <wp:positionV relativeFrom="paragraph">
              <wp:posOffset>180975</wp:posOffset>
            </wp:positionV>
            <wp:extent cx="5146040" cy="2141220"/>
            <wp:effectExtent l="19050" t="0" r="0" b="0"/>
            <wp:wrapTight wrapText="bothSides">
              <wp:wrapPolygon edited="0">
                <wp:start x="-80" y="0"/>
                <wp:lineTo x="-80" y="21331"/>
                <wp:lineTo x="21589" y="21331"/>
                <wp:lineTo x="21589" y="0"/>
                <wp:lineTo x="-8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cstate="print"/>
                    <a:srcRect/>
                    <a:stretch>
                      <a:fillRect/>
                    </a:stretch>
                  </pic:blipFill>
                  <pic:spPr bwMode="auto">
                    <a:xfrm>
                      <a:off x="0" y="0"/>
                      <a:ext cx="5146040" cy="2141220"/>
                    </a:xfrm>
                    <a:prstGeom prst="rect">
                      <a:avLst/>
                    </a:prstGeom>
                    <a:noFill/>
                    <a:ln w="9525">
                      <a:noFill/>
                      <a:miter lim="800000"/>
                      <a:headEnd/>
                      <a:tailEnd/>
                    </a:ln>
                  </pic:spPr>
                </pic:pic>
              </a:graphicData>
            </a:graphic>
          </wp:anchor>
        </w:drawing>
      </w:r>
      <w:r w:rsidR="000B4F9F" w:rsidRPr="008143D7">
        <w:rPr>
          <w:b/>
          <w:sz w:val="20"/>
        </w:rPr>
        <w:t>Figure 10: Armenia Capital Inflows In percent of GDP</w:t>
      </w:r>
    </w:p>
    <w:p w:rsidR="000B4F9F" w:rsidRDefault="000B4F9F" w:rsidP="00855B38">
      <w:pPr>
        <w:tabs>
          <w:tab w:val="left" w:pos="0"/>
        </w:tabs>
        <w:autoSpaceDE w:val="0"/>
        <w:autoSpaceDN w:val="0"/>
        <w:adjustRightInd w:val="0"/>
        <w:spacing w:after="120"/>
        <w:rPr>
          <w:color w:val="000000"/>
          <w:szCs w:val="24"/>
        </w:rPr>
      </w:pPr>
    </w:p>
    <w:p w:rsidR="000B4F9F" w:rsidRDefault="000B4F9F" w:rsidP="00855B38">
      <w:pPr>
        <w:tabs>
          <w:tab w:val="left" w:pos="0"/>
        </w:tabs>
        <w:autoSpaceDE w:val="0"/>
        <w:autoSpaceDN w:val="0"/>
        <w:adjustRightInd w:val="0"/>
        <w:spacing w:after="120"/>
        <w:rPr>
          <w:color w:val="000000"/>
          <w:szCs w:val="24"/>
        </w:rPr>
      </w:pPr>
    </w:p>
    <w:p w:rsidR="000B4F9F" w:rsidRDefault="000B4F9F" w:rsidP="00855B38">
      <w:pPr>
        <w:tabs>
          <w:tab w:val="left" w:pos="0"/>
        </w:tabs>
        <w:autoSpaceDE w:val="0"/>
        <w:autoSpaceDN w:val="0"/>
        <w:adjustRightInd w:val="0"/>
        <w:spacing w:after="120"/>
        <w:jc w:val="both"/>
        <w:rPr>
          <w:sz w:val="18"/>
          <w:szCs w:val="18"/>
        </w:rPr>
      </w:pPr>
    </w:p>
    <w:p w:rsidR="000B4F9F" w:rsidRDefault="000B4F9F" w:rsidP="00855B38">
      <w:pPr>
        <w:tabs>
          <w:tab w:val="left" w:pos="0"/>
        </w:tabs>
        <w:autoSpaceDE w:val="0"/>
        <w:autoSpaceDN w:val="0"/>
        <w:adjustRightInd w:val="0"/>
        <w:spacing w:after="120"/>
        <w:jc w:val="both"/>
        <w:rPr>
          <w:sz w:val="18"/>
          <w:szCs w:val="18"/>
        </w:rPr>
      </w:pPr>
    </w:p>
    <w:p w:rsidR="000B4F9F" w:rsidRDefault="000B4F9F" w:rsidP="00855B38">
      <w:pPr>
        <w:tabs>
          <w:tab w:val="left" w:pos="0"/>
        </w:tabs>
        <w:autoSpaceDE w:val="0"/>
        <w:autoSpaceDN w:val="0"/>
        <w:adjustRightInd w:val="0"/>
        <w:spacing w:after="120"/>
        <w:jc w:val="both"/>
        <w:rPr>
          <w:sz w:val="18"/>
          <w:szCs w:val="18"/>
        </w:rPr>
      </w:pPr>
    </w:p>
    <w:p w:rsidR="000B4F9F" w:rsidRDefault="000B4F9F" w:rsidP="00855B38">
      <w:pPr>
        <w:tabs>
          <w:tab w:val="left" w:pos="0"/>
        </w:tabs>
        <w:autoSpaceDE w:val="0"/>
        <w:autoSpaceDN w:val="0"/>
        <w:adjustRightInd w:val="0"/>
        <w:spacing w:after="120"/>
        <w:jc w:val="both"/>
        <w:rPr>
          <w:sz w:val="18"/>
          <w:szCs w:val="18"/>
        </w:rPr>
      </w:pPr>
    </w:p>
    <w:p w:rsidR="000B4F9F" w:rsidRDefault="000B4F9F" w:rsidP="00855B38">
      <w:pPr>
        <w:tabs>
          <w:tab w:val="left" w:pos="0"/>
        </w:tabs>
        <w:autoSpaceDE w:val="0"/>
        <w:autoSpaceDN w:val="0"/>
        <w:adjustRightInd w:val="0"/>
        <w:spacing w:after="120"/>
        <w:jc w:val="both"/>
        <w:rPr>
          <w:sz w:val="18"/>
          <w:szCs w:val="18"/>
        </w:rPr>
      </w:pPr>
    </w:p>
    <w:p w:rsidR="000B4F9F" w:rsidRDefault="000B4F9F" w:rsidP="00855B38">
      <w:pPr>
        <w:tabs>
          <w:tab w:val="left" w:pos="0"/>
        </w:tabs>
        <w:autoSpaceDE w:val="0"/>
        <w:autoSpaceDN w:val="0"/>
        <w:adjustRightInd w:val="0"/>
        <w:spacing w:after="120"/>
        <w:jc w:val="both"/>
        <w:rPr>
          <w:sz w:val="18"/>
          <w:szCs w:val="18"/>
        </w:rPr>
      </w:pPr>
    </w:p>
    <w:p w:rsidR="000B4F9F" w:rsidRDefault="000B4F9F" w:rsidP="00855B38">
      <w:pPr>
        <w:tabs>
          <w:tab w:val="left" w:pos="0"/>
        </w:tabs>
        <w:autoSpaceDE w:val="0"/>
        <w:autoSpaceDN w:val="0"/>
        <w:adjustRightInd w:val="0"/>
        <w:spacing w:after="120"/>
        <w:jc w:val="both"/>
        <w:rPr>
          <w:sz w:val="18"/>
          <w:szCs w:val="18"/>
        </w:rPr>
      </w:pPr>
    </w:p>
    <w:p w:rsidR="000B4F9F" w:rsidRDefault="000B4F9F" w:rsidP="00855B38">
      <w:pPr>
        <w:tabs>
          <w:tab w:val="left" w:pos="0"/>
        </w:tabs>
        <w:autoSpaceDE w:val="0"/>
        <w:autoSpaceDN w:val="0"/>
        <w:adjustRightInd w:val="0"/>
        <w:spacing w:after="120"/>
        <w:jc w:val="both"/>
        <w:rPr>
          <w:sz w:val="18"/>
          <w:szCs w:val="18"/>
        </w:rPr>
      </w:pPr>
    </w:p>
    <w:p w:rsidR="00855B38" w:rsidRDefault="00855B38" w:rsidP="00855B38">
      <w:pPr>
        <w:tabs>
          <w:tab w:val="left" w:pos="0"/>
        </w:tabs>
        <w:autoSpaceDE w:val="0"/>
        <w:autoSpaceDN w:val="0"/>
        <w:adjustRightInd w:val="0"/>
        <w:spacing w:after="120"/>
        <w:jc w:val="both"/>
        <w:rPr>
          <w:sz w:val="18"/>
          <w:szCs w:val="18"/>
        </w:rPr>
      </w:pPr>
      <w:r w:rsidRPr="004A135D">
        <w:rPr>
          <w:sz w:val="18"/>
          <w:szCs w:val="18"/>
        </w:rPr>
        <w:t xml:space="preserve">Source: </w:t>
      </w:r>
      <w:r>
        <w:rPr>
          <w:sz w:val="18"/>
          <w:szCs w:val="18"/>
        </w:rPr>
        <w:t>C</w:t>
      </w:r>
      <w:r w:rsidR="00DE1E14">
        <w:rPr>
          <w:sz w:val="18"/>
          <w:szCs w:val="18"/>
        </w:rPr>
        <w:t xml:space="preserve">entral </w:t>
      </w:r>
      <w:r>
        <w:rPr>
          <w:sz w:val="18"/>
          <w:szCs w:val="18"/>
        </w:rPr>
        <w:t>B</w:t>
      </w:r>
      <w:r w:rsidR="00DE1E14">
        <w:rPr>
          <w:sz w:val="18"/>
          <w:szCs w:val="18"/>
        </w:rPr>
        <w:t xml:space="preserve">ank of </w:t>
      </w:r>
      <w:r>
        <w:rPr>
          <w:sz w:val="18"/>
          <w:szCs w:val="18"/>
        </w:rPr>
        <w:t>A</w:t>
      </w:r>
      <w:r w:rsidR="00DE1E14">
        <w:rPr>
          <w:sz w:val="18"/>
          <w:szCs w:val="18"/>
        </w:rPr>
        <w:t>rmenia</w:t>
      </w:r>
      <w:r>
        <w:rPr>
          <w:sz w:val="18"/>
          <w:szCs w:val="18"/>
        </w:rPr>
        <w:t>.</w:t>
      </w:r>
    </w:p>
    <w:p w:rsidR="00694C52" w:rsidRDefault="00855B38" w:rsidP="00C71EEC">
      <w:pPr>
        <w:tabs>
          <w:tab w:val="left" w:pos="0"/>
        </w:tabs>
        <w:autoSpaceDE w:val="0"/>
        <w:autoSpaceDN w:val="0"/>
        <w:adjustRightInd w:val="0"/>
        <w:spacing w:after="120"/>
        <w:rPr>
          <w:color w:val="000000"/>
          <w:szCs w:val="24"/>
        </w:rPr>
      </w:pPr>
      <w:r w:rsidRPr="00922244">
        <w:rPr>
          <w:color w:val="000000" w:themeColor="text1"/>
          <w:szCs w:val="24"/>
        </w:rPr>
        <w:t>FDI</w:t>
      </w:r>
      <w:r w:rsidR="005E2AD0">
        <w:rPr>
          <w:color w:val="000000" w:themeColor="text1"/>
          <w:szCs w:val="24"/>
        </w:rPr>
        <w:t xml:space="preserve"> </w:t>
      </w:r>
      <w:r w:rsidRPr="00922244">
        <w:rPr>
          <w:color w:val="000000" w:themeColor="text1"/>
          <w:szCs w:val="24"/>
        </w:rPr>
        <w:t xml:space="preserve">inflows have been </w:t>
      </w:r>
      <w:r w:rsidR="005E2AD0">
        <w:rPr>
          <w:color w:val="000000" w:themeColor="text1"/>
          <w:szCs w:val="24"/>
        </w:rPr>
        <w:t xml:space="preserve">relatively large </w:t>
      </w:r>
      <w:r w:rsidRPr="00922244">
        <w:rPr>
          <w:color w:val="000000" w:themeColor="text1"/>
          <w:szCs w:val="24"/>
        </w:rPr>
        <w:t xml:space="preserve">(around 5 percent of GDP), </w:t>
      </w:r>
      <w:r w:rsidR="005E2AD0">
        <w:rPr>
          <w:color w:val="000000" w:themeColor="text1"/>
          <w:szCs w:val="24"/>
        </w:rPr>
        <w:t xml:space="preserve">but </w:t>
      </w:r>
      <w:r w:rsidRPr="00922244">
        <w:rPr>
          <w:color w:val="000000" w:themeColor="text1"/>
          <w:szCs w:val="24"/>
        </w:rPr>
        <w:t xml:space="preserve">volatile, with a reduction in recent years, following the </w:t>
      </w:r>
      <w:r w:rsidR="005E2AD0">
        <w:rPr>
          <w:color w:val="000000" w:themeColor="text1"/>
          <w:szCs w:val="24"/>
        </w:rPr>
        <w:t xml:space="preserve">conclusion </w:t>
      </w:r>
      <w:r w:rsidRPr="00922244">
        <w:rPr>
          <w:color w:val="000000" w:themeColor="text1"/>
          <w:szCs w:val="24"/>
        </w:rPr>
        <w:t xml:space="preserve">of privatization. </w:t>
      </w:r>
      <w:r w:rsidR="005E2AD0">
        <w:rPr>
          <w:color w:val="000000" w:themeColor="text1"/>
          <w:szCs w:val="24"/>
        </w:rPr>
        <w:t>I</w:t>
      </w:r>
      <w:r w:rsidRPr="00922244">
        <w:rPr>
          <w:color w:val="000000" w:themeColor="text1"/>
          <w:szCs w:val="24"/>
        </w:rPr>
        <w:t xml:space="preserve">nflows have mainly originated from </w:t>
      </w:r>
      <w:r w:rsidRPr="00922244">
        <w:rPr>
          <w:szCs w:val="24"/>
        </w:rPr>
        <w:t xml:space="preserve">Russian investors, which account for 57 percent </w:t>
      </w:r>
      <w:r>
        <w:rPr>
          <w:szCs w:val="24"/>
        </w:rPr>
        <w:t xml:space="preserve">of the total FDI stock (Figure </w:t>
      </w:r>
      <w:r w:rsidR="001C7D8C">
        <w:rPr>
          <w:szCs w:val="24"/>
        </w:rPr>
        <w:t>11</w:t>
      </w:r>
      <w:r w:rsidRPr="00922244">
        <w:rPr>
          <w:szCs w:val="24"/>
        </w:rPr>
        <w:t xml:space="preserve">), followed by </w:t>
      </w:r>
      <w:r w:rsidR="00CB31C8" w:rsidRPr="00922244">
        <w:rPr>
          <w:szCs w:val="24"/>
        </w:rPr>
        <w:t>France (7 percent)</w:t>
      </w:r>
      <w:r w:rsidR="00CB31C8">
        <w:rPr>
          <w:szCs w:val="24"/>
        </w:rPr>
        <w:t xml:space="preserve">, </w:t>
      </w:r>
      <w:r w:rsidR="00CB31C8" w:rsidRPr="00922244">
        <w:rPr>
          <w:szCs w:val="24"/>
        </w:rPr>
        <w:t>Argentina (6 percent</w:t>
      </w:r>
      <w:r w:rsidR="00CB31C8">
        <w:rPr>
          <w:szCs w:val="24"/>
        </w:rPr>
        <w:t xml:space="preserve">), </w:t>
      </w:r>
      <w:r w:rsidR="00CB31C8" w:rsidRPr="00922244">
        <w:rPr>
          <w:szCs w:val="24"/>
        </w:rPr>
        <w:t xml:space="preserve">Germany (4 percent) </w:t>
      </w:r>
      <w:r w:rsidR="00CB31C8">
        <w:rPr>
          <w:szCs w:val="24"/>
        </w:rPr>
        <w:t xml:space="preserve">and </w:t>
      </w:r>
      <w:r w:rsidRPr="00922244">
        <w:rPr>
          <w:szCs w:val="24"/>
        </w:rPr>
        <w:t>Switzerland (3 percent)</w:t>
      </w:r>
      <w:r w:rsidR="00CB31C8">
        <w:rPr>
          <w:szCs w:val="24"/>
        </w:rPr>
        <w:t>.</w:t>
      </w:r>
      <w:r w:rsidRPr="00922244">
        <w:rPr>
          <w:szCs w:val="24"/>
        </w:rPr>
        <w:t xml:space="preserve"> </w:t>
      </w:r>
      <w:r w:rsidRPr="00922244">
        <w:rPr>
          <w:color w:val="000000" w:themeColor="text1"/>
          <w:szCs w:val="24"/>
        </w:rPr>
        <w:t xml:space="preserve">Although some studies </w:t>
      </w:r>
      <w:r w:rsidRPr="00922244">
        <w:rPr>
          <w:color w:val="000000"/>
          <w:szCs w:val="24"/>
        </w:rPr>
        <w:t>(</w:t>
      </w:r>
      <w:r w:rsidR="005E2AD0">
        <w:rPr>
          <w:color w:val="000000"/>
          <w:szCs w:val="24"/>
        </w:rPr>
        <w:t xml:space="preserve">e.g., </w:t>
      </w:r>
      <w:r w:rsidRPr="00922244">
        <w:rPr>
          <w:color w:val="000000"/>
          <w:szCs w:val="24"/>
        </w:rPr>
        <w:t xml:space="preserve">Arslanalp and Poghosyan (2014)) identify FDI inflows as an important transmission channel of global and regional shocks, this paper considers that the effect of FDI inflows </w:t>
      </w:r>
      <w:r w:rsidR="00CB31C8">
        <w:rPr>
          <w:color w:val="000000"/>
          <w:szCs w:val="24"/>
        </w:rPr>
        <w:t>are</w:t>
      </w:r>
      <w:r w:rsidRPr="00922244">
        <w:rPr>
          <w:color w:val="000000"/>
          <w:szCs w:val="24"/>
        </w:rPr>
        <w:t xml:space="preserve"> structural </w:t>
      </w:r>
      <w:r w:rsidR="005E2AD0">
        <w:rPr>
          <w:color w:val="000000"/>
          <w:szCs w:val="24"/>
        </w:rPr>
        <w:t xml:space="preserve">in nature </w:t>
      </w:r>
      <w:r w:rsidRPr="00922244">
        <w:rPr>
          <w:color w:val="000000"/>
          <w:szCs w:val="24"/>
        </w:rPr>
        <w:t xml:space="preserve">and </w:t>
      </w:r>
      <w:r w:rsidR="00F677D1">
        <w:rPr>
          <w:color w:val="000000"/>
          <w:szCs w:val="24"/>
        </w:rPr>
        <w:t xml:space="preserve">with an impact on growth that materialize </w:t>
      </w:r>
      <w:r w:rsidR="00CB31C8">
        <w:rPr>
          <w:color w:val="000000"/>
          <w:szCs w:val="24"/>
        </w:rPr>
        <w:t xml:space="preserve">only </w:t>
      </w:r>
      <w:r w:rsidRPr="00922244">
        <w:rPr>
          <w:color w:val="000000"/>
          <w:szCs w:val="24"/>
        </w:rPr>
        <w:t>in the medium to long</w:t>
      </w:r>
      <w:r w:rsidR="00DE1E14">
        <w:rPr>
          <w:color w:val="000000"/>
          <w:szCs w:val="24"/>
        </w:rPr>
        <w:t xml:space="preserve"> </w:t>
      </w:r>
      <w:r w:rsidRPr="00922244">
        <w:rPr>
          <w:color w:val="000000"/>
          <w:szCs w:val="24"/>
        </w:rPr>
        <w:t xml:space="preserve">term. </w:t>
      </w:r>
      <w:r w:rsidR="00CB31C8">
        <w:rPr>
          <w:color w:val="000000"/>
          <w:szCs w:val="24"/>
        </w:rPr>
        <w:t>Therefore,</w:t>
      </w:r>
      <w:r w:rsidR="00F677D1">
        <w:rPr>
          <w:color w:val="000000"/>
          <w:szCs w:val="24"/>
        </w:rPr>
        <w:t xml:space="preserve"> the paper </w:t>
      </w:r>
      <w:r w:rsidR="00CB31C8">
        <w:rPr>
          <w:color w:val="000000"/>
          <w:szCs w:val="24"/>
        </w:rPr>
        <w:t xml:space="preserve">will </w:t>
      </w:r>
      <w:r w:rsidR="00144012">
        <w:rPr>
          <w:color w:val="000000"/>
          <w:szCs w:val="24"/>
        </w:rPr>
        <w:t xml:space="preserve">not </w:t>
      </w:r>
      <w:r w:rsidR="00CB31C8">
        <w:rPr>
          <w:color w:val="000000"/>
          <w:szCs w:val="24"/>
        </w:rPr>
        <w:t>include</w:t>
      </w:r>
      <w:r w:rsidR="00F677D1">
        <w:rPr>
          <w:color w:val="000000"/>
          <w:szCs w:val="24"/>
        </w:rPr>
        <w:t xml:space="preserve"> them</w:t>
      </w:r>
      <w:r w:rsidR="00CB31C8">
        <w:rPr>
          <w:color w:val="000000"/>
          <w:szCs w:val="24"/>
        </w:rPr>
        <w:t xml:space="preserve"> in the analysis</w:t>
      </w:r>
      <w:r w:rsidR="00F677D1">
        <w:rPr>
          <w:color w:val="000000"/>
          <w:szCs w:val="24"/>
        </w:rPr>
        <w:t xml:space="preserve"> of Armenia</w:t>
      </w:r>
      <w:r w:rsidR="00927516">
        <w:rPr>
          <w:color w:val="000000"/>
          <w:szCs w:val="24"/>
        </w:rPr>
        <w:t xml:space="preserve">n economic activity’s </w:t>
      </w:r>
      <w:r w:rsidR="00F677D1">
        <w:rPr>
          <w:color w:val="000000"/>
          <w:szCs w:val="24"/>
        </w:rPr>
        <w:t>sensitivity to shocks</w:t>
      </w:r>
      <w:r w:rsidR="00CB31C8">
        <w:rPr>
          <w:color w:val="000000"/>
          <w:szCs w:val="24"/>
        </w:rPr>
        <w:t xml:space="preserve">. </w:t>
      </w:r>
    </w:p>
    <w:p w:rsidR="00C71EEC" w:rsidRDefault="00927516" w:rsidP="00C71EEC">
      <w:pPr>
        <w:tabs>
          <w:tab w:val="left" w:pos="0"/>
        </w:tabs>
        <w:autoSpaceDE w:val="0"/>
        <w:autoSpaceDN w:val="0"/>
        <w:adjustRightInd w:val="0"/>
        <w:spacing w:after="120"/>
        <w:rPr>
          <w:color w:val="000000"/>
          <w:szCs w:val="24"/>
        </w:rPr>
      </w:pPr>
      <w:r>
        <w:rPr>
          <w:color w:val="000000"/>
          <w:szCs w:val="24"/>
        </w:rPr>
        <w:t>Instead, t</w:t>
      </w:r>
      <w:r w:rsidR="00CB31C8">
        <w:rPr>
          <w:color w:val="000000"/>
          <w:szCs w:val="24"/>
        </w:rPr>
        <w:t xml:space="preserve">his paper would focus on </w:t>
      </w:r>
      <w:r w:rsidR="00F677D1">
        <w:rPr>
          <w:color w:val="000000"/>
          <w:szCs w:val="24"/>
        </w:rPr>
        <w:t>assessing the role of e</w:t>
      </w:r>
      <w:r w:rsidR="00CB31C8" w:rsidRPr="00922244">
        <w:rPr>
          <w:color w:val="000000"/>
          <w:szCs w:val="24"/>
        </w:rPr>
        <w:t>xternal borrowing</w:t>
      </w:r>
      <w:r>
        <w:rPr>
          <w:color w:val="000000"/>
          <w:szCs w:val="24"/>
        </w:rPr>
        <w:t xml:space="preserve">, which historically has been played a </w:t>
      </w:r>
      <w:r w:rsidR="00F677D1">
        <w:rPr>
          <w:color w:val="000000"/>
          <w:szCs w:val="24"/>
        </w:rPr>
        <w:t xml:space="preserve">greater role than </w:t>
      </w:r>
      <w:r w:rsidR="00CB31C8">
        <w:rPr>
          <w:color w:val="000000"/>
          <w:szCs w:val="24"/>
        </w:rPr>
        <w:t xml:space="preserve">FDI </w:t>
      </w:r>
      <w:r w:rsidR="00CB31C8" w:rsidRPr="00922244">
        <w:rPr>
          <w:color w:val="000000"/>
          <w:szCs w:val="24"/>
        </w:rPr>
        <w:t xml:space="preserve">as </w:t>
      </w:r>
      <w:r w:rsidR="00CB31C8">
        <w:rPr>
          <w:color w:val="000000"/>
          <w:szCs w:val="24"/>
        </w:rPr>
        <w:t xml:space="preserve">a </w:t>
      </w:r>
      <w:r w:rsidR="00CB31C8" w:rsidRPr="00922244">
        <w:rPr>
          <w:color w:val="000000"/>
          <w:szCs w:val="24"/>
        </w:rPr>
        <w:t xml:space="preserve">funding </w:t>
      </w:r>
      <w:r w:rsidR="00CB31C8">
        <w:rPr>
          <w:color w:val="000000"/>
          <w:szCs w:val="24"/>
        </w:rPr>
        <w:t xml:space="preserve">source </w:t>
      </w:r>
      <w:r w:rsidR="00CB31C8" w:rsidRPr="00922244">
        <w:rPr>
          <w:color w:val="000000"/>
          <w:szCs w:val="24"/>
        </w:rPr>
        <w:t xml:space="preserve">for </w:t>
      </w:r>
      <w:r w:rsidR="00CB31C8">
        <w:rPr>
          <w:color w:val="000000"/>
          <w:szCs w:val="24"/>
        </w:rPr>
        <w:t xml:space="preserve">the </w:t>
      </w:r>
      <w:r w:rsidR="00CB31C8" w:rsidRPr="00922244">
        <w:rPr>
          <w:color w:val="000000"/>
          <w:szCs w:val="24"/>
        </w:rPr>
        <w:t>Armenian private and public sectors. In fact</w:t>
      </w:r>
      <w:r w:rsidR="00CB31C8">
        <w:rPr>
          <w:color w:val="000000"/>
          <w:szCs w:val="24"/>
        </w:rPr>
        <w:t xml:space="preserve">, </w:t>
      </w:r>
      <w:r w:rsidR="00CB31C8" w:rsidRPr="00922244">
        <w:rPr>
          <w:color w:val="000000"/>
          <w:szCs w:val="24"/>
        </w:rPr>
        <w:t xml:space="preserve">the stock of external debt is </w:t>
      </w:r>
      <w:r w:rsidR="00CB31C8">
        <w:rPr>
          <w:color w:val="000000"/>
          <w:szCs w:val="24"/>
        </w:rPr>
        <w:t xml:space="preserve">relatively </w:t>
      </w:r>
      <w:r w:rsidR="00CB31C8" w:rsidRPr="00922244">
        <w:rPr>
          <w:color w:val="000000"/>
          <w:szCs w:val="24"/>
        </w:rPr>
        <w:t xml:space="preserve">large (Figure </w:t>
      </w:r>
      <w:r w:rsidR="00CB31C8">
        <w:rPr>
          <w:color w:val="000000"/>
          <w:szCs w:val="24"/>
        </w:rPr>
        <w:t>11</w:t>
      </w:r>
      <w:r w:rsidR="00CB31C8" w:rsidRPr="00922244">
        <w:rPr>
          <w:color w:val="000000"/>
          <w:szCs w:val="24"/>
        </w:rPr>
        <w:t>).</w:t>
      </w:r>
      <w:r w:rsidR="00F677D1">
        <w:rPr>
          <w:color w:val="000000"/>
          <w:szCs w:val="24"/>
        </w:rPr>
        <w:t xml:space="preserve"> </w:t>
      </w:r>
      <w:r w:rsidR="006867DD">
        <w:rPr>
          <w:color w:val="000000"/>
          <w:szCs w:val="24"/>
        </w:rPr>
        <w:t xml:space="preserve">In Armenia, external borrowing </w:t>
      </w:r>
      <w:r w:rsidR="006867DD" w:rsidRPr="00922244">
        <w:rPr>
          <w:color w:val="000000"/>
          <w:szCs w:val="24"/>
        </w:rPr>
        <w:t xml:space="preserve">has a long-term, project-based and concessional profile, which could also reduce its </w:t>
      </w:r>
      <w:r w:rsidR="006867DD">
        <w:rPr>
          <w:color w:val="000000"/>
          <w:szCs w:val="24"/>
        </w:rPr>
        <w:t xml:space="preserve">links to the </w:t>
      </w:r>
      <w:r w:rsidR="006867DD" w:rsidRPr="00922244">
        <w:rPr>
          <w:color w:val="000000"/>
          <w:szCs w:val="24"/>
        </w:rPr>
        <w:t>business cycle.</w:t>
      </w:r>
      <w:r w:rsidR="0030186C">
        <w:rPr>
          <w:color w:val="000000"/>
          <w:szCs w:val="24"/>
        </w:rPr>
        <w:t xml:space="preserve"> </w:t>
      </w:r>
      <w:r w:rsidR="00694C52">
        <w:rPr>
          <w:color w:val="000000"/>
          <w:szCs w:val="24"/>
        </w:rPr>
        <w:t xml:space="preserve">Most of public debt has a long maturity, with a large concessionality level and focused on capital projects. Most </w:t>
      </w:r>
      <w:r w:rsidR="00694C52">
        <w:rPr>
          <w:szCs w:val="24"/>
        </w:rPr>
        <w:t xml:space="preserve">banks’ </w:t>
      </w:r>
      <w:r w:rsidR="00694C52" w:rsidRPr="00922244">
        <w:rPr>
          <w:szCs w:val="24"/>
        </w:rPr>
        <w:t xml:space="preserve">external borrowing </w:t>
      </w:r>
      <w:r w:rsidR="00694C52">
        <w:rPr>
          <w:szCs w:val="24"/>
        </w:rPr>
        <w:t xml:space="preserve">still </w:t>
      </w:r>
      <w:r w:rsidR="00694C52" w:rsidRPr="00922244">
        <w:rPr>
          <w:szCs w:val="24"/>
        </w:rPr>
        <w:t>take</w:t>
      </w:r>
      <w:r w:rsidR="00694C52">
        <w:rPr>
          <w:szCs w:val="24"/>
        </w:rPr>
        <w:t>s</w:t>
      </w:r>
      <w:r w:rsidR="00694C52" w:rsidRPr="00922244">
        <w:rPr>
          <w:szCs w:val="24"/>
        </w:rPr>
        <w:t xml:space="preserve"> the form of </w:t>
      </w:r>
      <w:r w:rsidR="00694C52">
        <w:rPr>
          <w:szCs w:val="24"/>
        </w:rPr>
        <w:t>lo</w:t>
      </w:r>
      <w:r w:rsidR="00694C52" w:rsidRPr="00922244">
        <w:rPr>
          <w:szCs w:val="24"/>
        </w:rPr>
        <w:t xml:space="preserve">ans with </w:t>
      </w:r>
      <w:r w:rsidR="00694C52">
        <w:rPr>
          <w:szCs w:val="24"/>
        </w:rPr>
        <w:t>IFIs</w:t>
      </w:r>
      <w:r w:rsidR="00694C52" w:rsidRPr="00922244">
        <w:rPr>
          <w:szCs w:val="24"/>
        </w:rPr>
        <w:t xml:space="preserve"> to support access to finance.</w:t>
      </w:r>
      <w:r w:rsidR="00694C52">
        <w:rPr>
          <w:szCs w:val="24"/>
        </w:rPr>
        <w:t xml:space="preserve"> </w:t>
      </w:r>
      <w:r w:rsidR="0030186C">
        <w:rPr>
          <w:color w:val="000000"/>
          <w:szCs w:val="24"/>
        </w:rPr>
        <w:t xml:space="preserve">However, </w:t>
      </w:r>
      <w:r w:rsidR="00694C52">
        <w:rPr>
          <w:color w:val="000000"/>
          <w:szCs w:val="24"/>
        </w:rPr>
        <w:t xml:space="preserve">in practice, it usually </w:t>
      </w:r>
      <w:r w:rsidR="0030186C">
        <w:t>increase</w:t>
      </w:r>
      <w:r w:rsidR="00694C52">
        <w:t>s</w:t>
      </w:r>
      <w:r w:rsidR="0030186C">
        <w:t xml:space="preserve"> in response to external shocks</w:t>
      </w:r>
      <w:r w:rsidR="00694C52">
        <w:t xml:space="preserve">, because of </w:t>
      </w:r>
      <w:r w:rsidR="0030186C">
        <w:t xml:space="preserve">larger </w:t>
      </w:r>
      <w:r w:rsidR="00694C52">
        <w:t xml:space="preserve">fiscal </w:t>
      </w:r>
      <w:r w:rsidR="0030186C">
        <w:t>deficits</w:t>
      </w:r>
      <w:r w:rsidR="00694C52">
        <w:t xml:space="preserve"> and higher recourse to </w:t>
      </w:r>
      <w:r w:rsidR="0030186C">
        <w:t xml:space="preserve">borrowing </w:t>
      </w:r>
      <w:r w:rsidR="00694C52">
        <w:t>by households in the face of shocks.</w:t>
      </w:r>
    </w:p>
    <w:p w:rsidR="0011651C" w:rsidRDefault="00F46C42" w:rsidP="00C71EEC">
      <w:pPr>
        <w:tabs>
          <w:tab w:val="left" w:pos="0"/>
        </w:tabs>
        <w:autoSpaceDE w:val="0"/>
        <w:autoSpaceDN w:val="0"/>
        <w:adjustRightInd w:val="0"/>
        <w:spacing w:after="120"/>
        <w:jc w:val="center"/>
        <w:rPr>
          <w:b/>
          <w:color w:val="000000"/>
          <w:sz w:val="20"/>
        </w:rPr>
      </w:pPr>
      <w:r>
        <w:rPr>
          <w:b/>
          <w:noProof/>
          <w:color w:val="000000"/>
          <w:sz w:val="20"/>
        </w:rPr>
        <w:lastRenderedPageBreak/>
        <w:drawing>
          <wp:anchor distT="0" distB="0" distL="114300" distR="114300" simplePos="0" relativeHeight="251712512" behindDoc="1" locked="0" layoutInCell="1" allowOverlap="1">
            <wp:simplePos x="0" y="0"/>
            <wp:positionH relativeFrom="column">
              <wp:posOffset>2821940</wp:posOffset>
            </wp:positionH>
            <wp:positionV relativeFrom="paragraph">
              <wp:posOffset>273685</wp:posOffset>
            </wp:positionV>
            <wp:extent cx="2757805" cy="2207260"/>
            <wp:effectExtent l="19050" t="0" r="4445" b="0"/>
            <wp:wrapTight wrapText="bothSides">
              <wp:wrapPolygon edited="0">
                <wp:start x="-149" y="186"/>
                <wp:lineTo x="-149" y="21438"/>
                <wp:lineTo x="21635" y="21438"/>
                <wp:lineTo x="21635" y="186"/>
                <wp:lineTo x="-149" y="18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2757805" cy="2207260"/>
                    </a:xfrm>
                    <a:prstGeom prst="rect">
                      <a:avLst/>
                    </a:prstGeom>
                    <a:noFill/>
                    <a:ln w="9525">
                      <a:noFill/>
                      <a:miter lim="800000"/>
                      <a:headEnd/>
                      <a:tailEnd/>
                    </a:ln>
                  </pic:spPr>
                </pic:pic>
              </a:graphicData>
            </a:graphic>
          </wp:anchor>
        </w:drawing>
      </w:r>
      <w:r>
        <w:rPr>
          <w:b/>
          <w:noProof/>
          <w:color w:val="000000"/>
          <w:sz w:val="20"/>
        </w:rPr>
        <w:drawing>
          <wp:anchor distT="0" distB="0" distL="114300" distR="114300" simplePos="0" relativeHeight="251711488" behindDoc="1" locked="0" layoutInCell="1" allowOverlap="1">
            <wp:simplePos x="0" y="0"/>
            <wp:positionH relativeFrom="column">
              <wp:posOffset>-179705</wp:posOffset>
            </wp:positionH>
            <wp:positionV relativeFrom="paragraph">
              <wp:posOffset>207645</wp:posOffset>
            </wp:positionV>
            <wp:extent cx="2858135" cy="2331085"/>
            <wp:effectExtent l="0" t="0" r="0" b="0"/>
            <wp:wrapTight wrapText="bothSides">
              <wp:wrapPolygon edited="0">
                <wp:start x="288" y="353"/>
                <wp:lineTo x="144" y="21182"/>
                <wp:lineTo x="21595" y="21182"/>
                <wp:lineTo x="21595" y="3177"/>
                <wp:lineTo x="21451" y="530"/>
                <wp:lineTo x="21451" y="353"/>
                <wp:lineTo x="288" y="353"/>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2858135" cy="2331085"/>
                    </a:xfrm>
                    <a:prstGeom prst="rect">
                      <a:avLst/>
                    </a:prstGeom>
                    <a:noFill/>
                    <a:ln w="9525">
                      <a:noFill/>
                      <a:miter lim="800000"/>
                      <a:headEnd/>
                      <a:tailEnd/>
                    </a:ln>
                  </pic:spPr>
                </pic:pic>
              </a:graphicData>
            </a:graphic>
          </wp:anchor>
        </w:drawing>
      </w:r>
      <w:r w:rsidR="00855B38" w:rsidRPr="00443426">
        <w:rPr>
          <w:b/>
          <w:color w:val="000000"/>
          <w:sz w:val="20"/>
        </w:rPr>
        <w:t xml:space="preserve">Figure </w:t>
      </w:r>
      <w:r w:rsidR="00D633A4">
        <w:rPr>
          <w:b/>
          <w:color w:val="000000"/>
          <w:sz w:val="20"/>
        </w:rPr>
        <w:t>11</w:t>
      </w:r>
      <w:r w:rsidR="00855B38" w:rsidRPr="00443426">
        <w:rPr>
          <w:b/>
          <w:color w:val="000000"/>
          <w:sz w:val="20"/>
        </w:rPr>
        <w:t>: Armenia: FDI Geographical Composition and External Borrowing</w:t>
      </w:r>
      <w:r w:rsidR="00C71EEC" w:rsidRPr="00C71EEC">
        <w:rPr>
          <w:b/>
          <w:color w:val="000000"/>
          <w:sz w:val="20"/>
        </w:rPr>
        <w:t xml:space="preserve"> </w:t>
      </w:r>
    </w:p>
    <w:p w:rsidR="00F46C42" w:rsidRDefault="00F46C42" w:rsidP="00DC3119">
      <w:pPr>
        <w:tabs>
          <w:tab w:val="left" w:pos="0"/>
        </w:tabs>
        <w:autoSpaceDE w:val="0"/>
        <w:autoSpaceDN w:val="0"/>
        <w:adjustRightInd w:val="0"/>
        <w:spacing w:after="120"/>
        <w:jc w:val="both"/>
        <w:rPr>
          <w:sz w:val="18"/>
          <w:szCs w:val="18"/>
        </w:rPr>
      </w:pPr>
    </w:p>
    <w:p w:rsidR="00DC3119" w:rsidRDefault="00DC3119" w:rsidP="00DC3119">
      <w:pPr>
        <w:tabs>
          <w:tab w:val="left" w:pos="0"/>
        </w:tabs>
        <w:autoSpaceDE w:val="0"/>
        <w:autoSpaceDN w:val="0"/>
        <w:adjustRightInd w:val="0"/>
        <w:spacing w:after="120"/>
        <w:jc w:val="both"/>
        <w:rPr>
          <w:sz w:val="18"/>
          <w:szCs w:val="18"/>
        </w:rPr>
      </w:pPr>
      <w:r w:rsidRPr="004A135D">
        <w:rPr>
          <w:sz w:val="18"/>
          <w:szCs w:val="18"/>
        </w:rPr>
        <w:t xml:space="preserve">Source: </w:t>
      </w:r>
      <w:r>
        <w:rPr>
          <w:sz w:val="18"/>
          <w:szCs w:val="18"/>
        </w:rPr>
        <w:t>Armenia’s National Statistical Service and Central Bank of Armenia.</w:t>
      </w:r>
    </w:p>
    <w:p w:rsidR="00DC3119" w:rsidRPr="00443426" w:rsidRDefault="00DC3119" w:rsidP="00C71EEC">
      <w:pPr>
        <w:tabs>
          <w:tab w:val="left" w:pos="0"/>
        </w:tabs>
        <w:autoSpaceDE w:val="0"/>
        <w:autoSpaceDN w:val="0"/>
        <w:adjustRightInd w:val="0"/>
        <w:spacing w:after="120"/>
        <w:jc w:val="center"/>
        <w:rPr>
          <w:b/>
          <w:color w:val="000000"/>
          <w:sz w:val="20"/>
        </w:rPr>
      </w:pPr>
    </w:p>
    <w:p w:rsidR="00855B38" w:rsidRPr="00922244" w:rsidRDefault="00855B38" w:rsidP="00855B38">
      <w:pPr>
        <w:tabs>
          <w:tab w:val="left" w:pos="0"/>
        </w:tabs>
        <w:autoSpaceDE w:val="0"/>
        <w:autoSpaceDN w:val="0"/>
        <w:adjustRightInd w:val="0"/>
        <w:spacing w:after="120"/>
        <w:jc w:val="both"/>
        <w:rPr>
          <w:b/>
          <w:i/>
          <w:color w:val="000000"/>
          <w:szCs w:val="24"/>
        </w:rPr>
      </w:pPr>
      <w:r w:rsidRPr="00922244">
        <w:rPr>
          <w:b/>
          <w:i/>
          <w:color w:val="000000"/>
          <w:szCs w:val="24"/>
        </w:rPr>
        <w:t xml:space="preserve">Banking system </w:t>
      </w:r>
    </w:p>
    <w:p w:rsidR="00855B38" w:rsidRDefault="00855B38" w:rsidP="00D633A4">
      <w:pPr>
        <w:tabs>
          <w:tab w:val="left" w:pos="0"/>
        </w:tabs>
        <w:autoSpaceDE w:val="0"/>
        <w:autoSpaceDN w:val="0"/>
        <w:adjustRightInd w:val="0"/>
        <w:spacing w:after="120"/>
        <w:rPr>
          <w:szCs w:val="24"/>
        </w:rPr>
      </w:pPr>
      <w:r w:rsidRPr="00922244">
        <w:rPr>
          <w:szCs w:val="24"/>
        </w:rPr>
        <w:t>In many countries</w:t>
      </w:r>
      <w:r w:rsidR="005E2AD0">
        <w:rPr>
          <w:szCs w:val="24"/>
        </w:rPr>
        <w:t>,</w:t>
      </w:r>
      <w:r w:rsidRPr="00922244">
        <w:rPr>
          <w:szCs w:val="24"/>
        </w:rPr>
        <w:t xml:space="preserve"> the banking system is an important transmission channel of spillovers </w:t>
      </w:r>
      <w:r w:rsidR="00D633A4">
        <w:rPr>
          <w:szCs w:val="24"/>
        </w:rPr>
        <w:t>from</w:t>
      </w:r>
      <w:r w:rsidRPr="00922244">
        <w:rPr>
          <w:szCs w:val="24"/>
        </w:rPr>
        <w:t xml:space="preserve"> global </w:t>
      </w:r>
      <w:r w:rsidR="00D633A4">
        <w:rPr>
          <w:szCs w:val="24"/>
        </w:rPr>
        <w:t xml:space="preserve">and regional </w:t>
      </w:r>
      <w:r w:rsidRPr="00922244">
        <w:rPr>
          <w:szCs w:val="24"/>
        </w:rPr>
        <w:t xml:space="preserve">shocks. The power of </w:t>
      </w:r>
      <w:r w:rsidR="005E2AD0">
        <w:rPr>
          <w:szCs w:val="24"/>
        </w:rPr>
        <w:t xml:space="preserve">the banking sector </w:t>
      </w:r>
      <w:r w:rsidRPr="00922244">
        <w:rPr>
          <w:szCs w:val="24"/>
        </w:rPr>
        <w:t xml:space="preserve">channel depends on the integration of the banking system into international </w:t>
      </w:r>
      <w:r w:rsidR="00D633A4">
        <w:rPr>
          <w:szCs w:val="24"/>
        </w:rPr>
        <w:t xml:space="preserve">and regional </w:t>
      </w:r>
      <w:r w:rsidRPr="00922244">
        <w:rPr>
          <w:szCs w:val="24"/>
        </w:rPr>
        <w:t xml:space="preserve">capital markets, the share of foreign investors in banks’ total assets, and the general soundness of the banking system. In the case of Armenia, the transmission of external shocks through the banking system </w:t>
      </w:r>
      <w:r w:rsidR="005E2AD0">
        <w:rPr>
          <w:szCs w:val="24"/>
        </w:rPr>
        <w:t xml:space="preserve">appears </w:t>
      </w:r>
      <w:r w:rsidRPr="00922244">
        <w:rPr>
          <w:szCs w:val="24"/>
        </w:rPr>
        <w:t xml:space="preserve">to be limited. First, Armenian banks are largely funded with domestic deposits, with limited exposure to international financial markets. Second, the banking system is not one of the economic sectors that </w:t>
      </w:r>
      <w:r w:rsidR="00765EC2">
        <w:rPr>
          <w:szCs w:val="24"/>
        </w:rPr>
        <w:t>have</w:t>
      </w:r>
      <w:r w:rsidR="005E2AD0">
        <w:rPr>
          <w:szCs w:val="24"/>
        </w:rPr>
        <w:t xml:space="preserve"> </w:t>
      </w:r>
      <w:r w:rsidRPr="00922244">
        <w:rPr>
          <w:szCs w:val="24"/>
        </w:rPr>
        <w:t xml:space="preserve">received </w:t>
      </w:r>
      <w:r w:rsidR="005E2AD0">
        <w:rPr>
          <w:szCs w:val="24"/>
        </w:rPr>
        <w:t xml:space="preserve">significant </w:t>
      </w:r>
      <w:r w:rsidRPr="00922244">
        <w:rPr>
          <w:szCs w:val="24"/>
        </w:rPr>
        <w:t xml:space="preserve">FDI inflows in recent years (see Figure </w:t>
      </w:r>
      <w:r>
        <w:rPr>
          <w:szCs w:val="24"/>
        </w:rPr>
        <w:t>1</w:t>
      </w:r>
      <w:r w:rsidR="00860EA3">
        <w:rPr>
          <w:szCs w:val="24"/>
        </w:rPr>
        <w:t>2</w:t>
      </w:r>
      <w:r w:rsidRPr="00922244">
        <w:rPr>
          <w:szCs w:val="24"/>
        </w:rPr>
        <w:t>). Moreover, although foreign participation</w:t>
      </w:r>
      <w:r w:rsidRPr="00922244">
        <w:rPr>
          <w:rStyle w:val="FootnoteReference"/>
          <w:szCs w:val="24"/>
        </w:rPr>
        <w:footnoteReference w:id="4"/>
      </w:r>
      <w:r w:rsidRPr="00922244">
        <w:rPr>
          <w:szCs w:val="24"/>
        </w:rPr>
        <w:t xml:space="preserve"> in bank</w:t>
      </w:r>
      <w:r w:rsidR="005E2AD0">
        <w:rPr>
          <w:szCs w:val="24"/>
        </w:rPr>
        <w:t xml:space="preserve"> </w:t>
      </w:r>
      <w:r w:rsidRPr="00922244">
        <w:rPr>
          <w:szCs w:val="24"/>
        </w:rPr>
        <w:t>statutory capital is large (74.6 percent at the end of 2013, with Russia as the biggest shareholder</w:t>
      </w:r>
      <w:r w:rsidR="00D633A4">
        <w:rPr>
          <w:szCs w:val="24"/>
        </w:rPr>
        <w:t>, see Figure 12</w:t>
      </w:r>
      <w:r w:rsidRPr="00922244">
        <w:rPr>
          <w:szCs w:val="24"/>
        </w:rPr>
        <w:t xml:space="preserve">), the operations of the foreign-owned Armenian </w:t>
      </w:r>
      <w:r w:rsidR="00CE64CD" w:rsidRPr="00922244">
        <w:rPr>
          <w:szCs w:val="24"/>
        </w:rPr>
        <w:t>bank</w:t>
      </w:r>
      <w:r w:rsidR="00CE64CD">
        <w:rPr>
          <w:szCs w:val="24"/>
        </w:rPr>
        <w:t xml:space="preserve"> </w:t>
      </w:r>
      <w:r w:rsidRPr="00922244">
        <w:rPr>
          <w:szCs w:val="24"/>
        </w:rPr>
        <w:t xml:space="preserve">are small compared to </w:t>
      </w:r>
      <w:r w:rsidR="00CE64CD">
        <w:rPr>
          <w:szCs w:val="24"/>
        </w:rPr>
        <w:t xml:space="preserve">the size of their </w:t>
      </w:r>
      <w:r w:rsidRPr="00922244">
        <w:rPr>
          <w:szCs w:val="24"/>
        </w:rPr>
        <w:t xml:space="preserve">parent banks. Under these circumstances, a withdrawal of liquidity from Armenian subsidiaries is unlikely to provide parent banks with </w:t>
      </w:r>
      <w:r w:rsidR="00CE64CD">
        <w:rPr>
          <w:szCs w:val="24"/>
        </w:rPr>
        <w:t xml:space="preserve">significant </w:t>
      </w:r>
      <w:r w:rsidRPr="00922244">
        <w:rPr>
          <w:szCs w:val="24"/>
        </w:rPr>
        <w:t>support</w:t>
      </w:r>
      <w:r w:rsidR="00CE64CD">
        <w:rPr>
          <w:szCs w:val="24"/>
        </w:rPr>
        <w:t>, although there could be withdrawals in case of severe shocks and could lead to a tightening of credit conditions in Armenia</w:t>
      </w:r>
      <w:r w:rsidRPr="00922244">
        <w:rPr>
          <w:szCs w:val="24"/>
        </w:rPr>
        <w:t xml:space="preserve">. </w:t>
      </w:r>
      <w:r w:rsidR="00C71EEC">
        <w:rPr>
          <w:szCs w:val="24"/>
        </w:rPr>
        <w:t>Therefore, this paper will not include the banking channel in the analysis of sensitivity of Armenian economic activity to global and regional shocks.</w:t>
      </w:r>
    </w:p>
    <w:p w:rsidR="00694C52" w:rsidRDefault="00694C52" w:rsidP="00D633A4">
      <w:pPr>
        <w:tabs>
          <w:tab w:val="left" w:pos="0"/>
        </w:tabs>
        <w:autoSpaceDE w:val="0"/>
        <w:autoSpaceDN w:val="0"/>
        <w:adjustRightInd w:val="0"/>
        <w:spacing w:after="120"/>
        <w:rPr>
          <w:szCs w:val="24"/>
        </w:rPr>
      </w:pPr>
    </w:p>
    <w:p w:rsidR="00694C52" w:rsidRDefault="00694C52" w:rsidP="00D633A4">
      <w:pPr>
        <w:tabs>
          <w:tab w:val="left" w:pos="0"/>
        </w:tabs>
        <w:autoSpaceDE w:val="0"/>
        <w:autoSpaceDN w:val="0"/>
        <w:adjustRightInd w:val="0"/>
        <w:spacing w:after="120"/>
        <w:rPr>
          <w:b/>
          <w:color w:val="000000"/>
          <w:sz w:val="20"/>
        </w:rPr>
      </w:pPr>
    </w:p>
    <w:p w:rsidR="00855B38" w:rsidRPr="000917A7" w:rsidRDefault="00860EA3" w:rsidP="00855B38">
      <w:pPr>
        <w:tabs>
          <w:tab w:val="left" w:pos="0"/>
        </w:tabs>
        <w:autoSpaceDE w:val="0"/>
        <w:autoSpaceDN w:val="0"/>
        <w:adjustRightInd w:val="0"/>
        <w:spacing w:after="120"/>
        <w:jc w:val="center"/>
        <w:rPr>
          <w:b/>
          <w:color w:val="000000"/>
          <w:sz w:val="20"/>
        </w:rPr>
      </w:pPr>
      <w:r>
        <w:rPr>
          <w:b/>
          <w:noProof/>
          <w:color w:val="000000"/>
          <w:sz w:val="20"/>
        </w:rPr>
        <w:lastRenderedPageBreak/>
        <w:drawing>
          <wp:anchor distT="0" distB="0" distL="114300" distR="114300" simplePos="0" relativeHeight="251689984" behindDoc="1" locked="0" layoutInCell="1" allowOverlap="1">
            <wp:simplePos x="0" y="0"/>
            <wp:positionH relativeFrom="column">
              <wp:posOffset>635</wp:posOffset>
            </wp:positionH>
            <wp:positionV relativeFrom="paragraph">
              <wp:posOffset>224790</wp:posOffset>
            </wp:positionV>
            <wp:extent cx="2682240" cy="2227580"/>
            <wp:effectExtent l="19050" t="0" r="3810" b="0"/>
            <wp:wrapTight wrapText="bothSides">
              <wp:wrapPolygon edited="0">
                <wp:start x="-153" y="0"/>
                <wp:lineTo x="-153" y="21428"/>
                <wp:lineTo x="21631" y="21428"/>
                <wp:lineTo x="21631" y="0"/>
                <wp:lineTo x="-153"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srcRect/>
                    <a:stretch>
                      <a:fillRect/>
                    </a:stretch>
                  </pic:blipFill>
                  <pic:spPr bwMode="auto">
                    <a:xfrm>
                      <a:off x="0" y="0"/>
                      <a:ext cx="2682240" cy="2227580"/>
                    </a:xfrm>
                    <a:prstGeom prst="rect">
                      <a:avLst/>
                    </a:prstGeom>
                    <a:noFill/>
                    <a:ln w="9525">
                      <a:noFill/>
                      <a:miter lim="800000"/>
                      <a:headEnd/>
                      <a:tailEnd/>
                    </a:ln>
                  </pic:spPr>
                </pic:pic>
              </a:graphicData>
            </a:graphic>
          </wp:anchor>
        </w:drawing>
      </w:r>
      <w:r>
        <w:rPr>
          <w:b/>
          <w:noProof/>
          <w:color w:val="000000"/>
          <w:sz w:val="20"/>
        </w:rPr>
        <w:drawing>
          <wp:anchor distT="0" distB="0" distL="114300" distR="114300" simplePos="0" relativeHeight="251688960" behindDoc="1" locked="0" layoutInCell="1" allowOverlap="1">
            <wp:simplePos x="0" y="0"/>
            <wp:positionH relativeFrom="column">
              <wp:posOffset>2730500</wp:posOffset>
            </wp:positionH>
            <wp:positionV relativeFrom="paragraph">
              <wp:posOffset>224155</wp:posOffset>
            </wp:positionV>
            <wp:extent cx="2720340" cy="2227580"/>
            <wp:effectExtent l="19050" t="19050" r="22860" b="20320"/>
            <wp:wrapTight wrapText="bothSides">
              <wp:wrapPolygon edited="0">
                <wp:start x="-151" y="-185"/>
                <wp:lineTo x="-151" y="21797"/>
                <wp:lineTo x="21782" y="21797"/>
                <wp:lineTo x="21782" y="-185"/>
                <wp:lineTo x="-151" y="-185"/>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2720340" cy="2227580"/>
                    </a:xfrm>
                    <a:prstGeom prst="rect">
                      <a:avLst/>
                    </a:prstGeom>
                    <a:noFill/>
                    <a:ln w="3175">
                      <a:solidFill>
                        <a:sysClr val="windowText" lastClr="000000"/>
                      </a:solidFill>
                      <a:miter lim="800000"/>
                      <a:headEnd/>
                      <a:tailEnd/>
                    </a:ln>
                  </pic:spPr>
                </pic:pic>
              </a:graphicData>
            </a:graphic>
          </wp:anchor>
        </w:drawing>
      </w:r>
      <w:r w:rsidR="00855B38" w:rsidRPr="000917A7">
        <w:rPr>
          <w:b/>
          <w:color w:val="000000"/>
          <w:sz w:val="20"/>
        </w:rPr>
        <w:t xml:space="preserve">Figure </w:t>
      </w:r>
      <w:r w:rsidR="00855B38">
        <w:rPr>
          <w:b/>
          <w:color w:val="000000"/>
          <w:sz w:val="20"/>
        </w:rPr>
        <w:t>1</w:t>
      </w:r>
      <w:r w:rsidR="00D633A4">
        <w:rPr>
          <w:b/>
          <w:color w:val="000000"/>
          <w:sz w:val="20"/>
        </w:rPr>
        <w:t>2</w:t>
      </w:r>
      <w:r w:rsidR="00855B38" w:rsidRPr="000917A7">
        <w:rPr>
          <w:b/>
          <w:color w:val="000000"/>
          <w:sz w:val="20"/>
        </w:rPr>
        <w:t xml:space="preserve">: Armenia: Structure of </w:t>
      </w:r>
      <w:r>
        <w:rPr>
          <w:b/>
          <w:color w:val="000000"/>
          <w:sz w:val="20"/>
        </w:rPr>
        <w:t xml:space="preserve">FDI Stocks and Flows </w:t>
      </w:r>
    </w:p>
    <w:p w:rsidR="00855B38" w:rsidRPr="00922244" w:rsidRDefault="00855B38" w:rsidP="00855B38">
      <w:pPr>
        <w:tabs>
          <w:tab w:val="left" w:pos="0"/>
        </w:tabs>
        <w:autoSpaceDE w:val="0"/>
        <w:autoSpaceDN w:val="0"/>
        <w:adjustRightInd w:val="0"/>
        <w:spacing w:after="120"/>
        <w:jc w:val="center"/>
        <w:rPr>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Pr="00922244" w:rsidRDefault="00855B38" w:rsidP="00855B38">
      <w:pPr>
        <w:tabs>
          <w:tab w:val="left" w:pos="0"/>
        </w:tabs>
        <w:autoSpaceDE w:val="0"/>
        <w:autoSpaceDN w:val="0"/>
        <w:adjustRightInd w:val="0"/>
        <w:spacing w:after="120"/>
        <w:rPr>
          <w:color w:val="000000"/>
          <w:szCs w:val="24"/>
        </w:rPr>
      </w:pPr>
    </w:p>
    <w:p w:rsidR="00855B38" w:rsidRDefault="00855B38" w:rsidP="00855B38">
      <w:pPr>
        <w:tabs>
          <w:tab w:val="left" w:pos="0"/>
        </w:tabs>
        <w:autoSpaceDE w:val="0"/>
        <w:autoSpaceDN w:val="0"/>
        <w:adjustRightInd w:val="0"/>
        <w:spacing w:after="120"/>
        <w:jc w:val="both"/>
        <w:rPr>
          <w:sz w:val="18"/>
          <w:szCs w:val="18"/>
        </w:rPr>
      </w:pPr>
      <w:r w:rsidRPr="004A135D">
        <w:rPr>
          <w:sz w:val="18"/>
          <w:szCs w:val="18"/>
        </w:rPr>
        <w:t xml:space="preserve">Source: </w:t>
      </w:r>
      <w:r w:rsidR="00D633A4">
        <w:rPr>
          <w:sz w:val="18"/>
          <w:szCs w:val="18"/>
        </w:rPr>
        <w:t>Armenia’s National Statistic</w:t>
      </w:r>
      <w:r w:rsidR="00A17C40">
        <w:rPr>
          <w:sz w:val="18"/>
          <w:szCs w:val="18"/>
        </w:rPr>
        <w:t>al</w:t>
      </w:r>
      <w:r w:rsidR="00D633A4">
        <w:rPr>
          <w:sz w:val="18"/>
          <w:szCs w:val="18"/>
        </w:rPr>
        <w:t xml:space="preserve"> Service</w:t>
      </w:r>
      <w:r>
        <w:rPr>
          <w:sz w:val="18"/>
          <w:szCs w:val="18"/>
        </w:rPr>
        <w:t>.</w:t>
      </w:r>
    </w:p>
    <w:p w:rsidR="00FA78E1" w:rsidRPr="007D2997" w:rsidRDefault="00FA78E1" w:rsidP="00855B38">
      <w:pPr>
        <w:tabs>
          <w:tab w:val="left" w:pos="0"/>
        </w:tabs>
        <w:autoSpaceDE w:val="0"/>
        <w:autoSpaceDN w:val="0"/>
        <w:adjustRightInd w:val="0"/>
        <w:spacing w:after="120"/>
        <w:rPr>
          <w:b/>
          <w:color w:val="000000"/>
          <w:szCs w:val="24"/>
        </w:rPr>
      </w:pPr>
    </w:p>
    <w:p w:rsidR="00D633A4" w:rsidRPr="007D2997" w:rsidRDefault="00D633A4" w:rsidP="007D4175">
      <w:pPr>
        <w:pStyle w:val="Heading1"/>
        <w:rPr>
          <w:bCs w:val="0"/>
          <w:szCs w:val="24"/>
        </w:rPr>
      </w:pPr>
      <w:r w:rsidRPr="007D2997">
        <w:rPr>
          <w:szCs w:val="24"/>
        </w:rPr>
        <w:t xml:space="preserve">Estimation </w:t>
      </w:r>
      <w:r w:rsidR="00860EA3" w:rsidRPr="007D2997">
        <w:rPr>
          <w:szCs w:val="24"/>
        </w:rPr>
        <w:t xml:space="preserve">and Identification </w:t>
      </w:r>
      <w:r w:rsidRPr="007D2997">
        <w:rPr>
          <w:szCs w:val="24"/>
        </w:rPr>
        <w:t xml:space="preserve">Techniques </w:t>
      </w:r>
    </w:p>
    <w:p w:rsidR="00D633A4" w:rsidRPr="00922244" w:rsidRDefault="00D633A4" w:rsidP="00D633A4">
      <w:pPr>
        <w:pStyle w:val="Heading2"/>
        <w:numPr>
          <w:ilvl w:val="0"/>
          <w:numId w:val="19"/>
        </w:numPr>
        <w:tabs>
          <w:tab w:val="left" w:pos="0"/>
        </w:tabs>
        <w:autoSpaceDE w:val="0"/>
        <w:autoSpaceDN w:val="0"/>
        <w:adjustRightInd w:val="0"/>
        <w:spacing w:after="120"/>
        <w:rPr>
          <w:rFonts w:cs="Times New Roman"/>
          <w:b w:val="0"/>
          <w:bCs w:val="0"/>
          <w:color w:val="000000" w:themeColor="text1"/>
          <w:szCs w:val="24"/>
        </w:rPr>
      </w:pPr>
      <w:r w:rsidRPr="00922244">
        <w:rPr>
          <w:rFonts w:cs="Times New Roman"/>
          <w:color w:val="000000" w:themeColor="text1"/>
          <w:szCs w:val="24"/>
        </w:rPr>
        <w:t xml:space="preserve">The baseline </w:t>
      </w:r>
      <w:r>
        <w:rPr>
          <w:rFonts w:cs="Times New Roman"/>
          <w:color w:val="000000" w:themeColor="text1"/>
          <w:szCs w:val="24"/>
        </w:rPr>
        <w:t xml:space="preserve">Structural </w:t>
      </w:r>
      <w:r w:rsidRPr="00922244">
        <w:rPr>
          <w:rFonts w:cs="Times New Roman"/>
          <w:color w:val="000000" w:themeColor="text1"/>
          <w:szCs w:val="24"/>
        </w:rPr>
        <w:t>Vector Auto-regression Model</w:t>
      </w:r>
    </w:p>
    <w:p w:rsidR="00D633A4" w:rsidRPr="00922244" w:rsidRDefault="00D633A4" w:rsidP="00D633A4">
      <w:pPr>
        <w:tabs>
          <w:tab w:val="left" w:pos="0"/>
        </w:tabs>
        <w:autoSpaceDE w:val="0"/>
        <w:autoSpaceDN w:val="0"/>
        <w:adjustRightInd w:val="0"/>
        <w:spacing w:after="120"/>
        <w:rPr>
          <w:szCs w:val="24"/>
        </w:rPr>
      </w:pPr>
      <w:r w:rsidRPr="00922244">
        <w:rPr>
          <w:szCs w:val="24"/>
        </w:rPr>
        <w:t>A frequently used approach to identif</w:t>
      </w:r>
      <w:r w:rsidR="00860EA3">
        <w:rPr>
          <w:szCs w:val="24"/>
        </w:rPr>
        <w:t>y</w:t>
      </w:r>
      <w:r w:rsidRPr="00922244">
        <w:rPr>
          <w:szCs w:val="24"/>
        </w:rPr>
        <w:t xml:space="preserve"> macroeconomic shocks is </w:t>
      </w:r>
      <w:r w:rsidR="00CE64CD">
        <w:rPr>
          <w:szCs w:val="24"/>
        </w:rPr>
        <w:t xml:space="preserve">a </w:t>
      </w:r>
      <w:r w:rsidRPr="00922244">
        <w:rPr>
          <w:szCs w:val="24"/>
        </w:rPr>
        <w:t>structural vector auto-regression (SVAR) model</w:t>
      </w:r>
      <w:r w:rsidRPr="00922244">
        <w:rPr>
          <w:rStyle w:val="FootnoteReference"/>
          <w:szCs w:val="24"/>
        </w:rPr>
        <w:footnoteReference w:id="5"/>
      </w:r>
      <w:r w:rsidR="00CE64CD">
        <w:rPr>
          <w:szCs w:val="24"/>
        </w:rPr>
        <w:t>,</w:t>
      </w:r>
      <w:r w:rsidRPr="00922244">
        <w:rPr>
          <w:szCs w:val="24"/>
        </w:rPr>
        <w:t xml:space="preserve"> </w:t>
      </w:r>
      <w:r w:rsidR="00CE64CD">
        <w:rPr>
          <w:szCs w:val="24"/>
        </w:rPr>
        <w:t xml:space="preserve">which helps capture </w:t>
      </w:r>
      <w:r w:rsidRPr="00922244">
        <w:rPr>
          <w:szCs w:val="24"/>
        </w:rPr>
        <w:t xml:space="preserve">interconnectedness </w:t>
      </w:r>
      <w:r w:rsidR="00860EA3">
        <w:rPr>
          <w:szCs w:val="24"/>
        </w:rPr>
        <w:t>and</w:t>
      </w:r>
      <w:r w:rsidRPr="00922244">
        <w:rPr>
          <w:szCs w:val="24"/>
        </w:rPr>
        <w:t xml:space="preserve"> endogeneity</w:t>
      </w:r>
      <w:r w:rsidR="00B81BB5">
        <w:rPr>
          <w:szCs w:val="24"/>
        </w:rPr>
        <w:t xml:space="preserve">. SVAR models </w:t>
      </w:r>
      <w:r w:rsidR="00CE64CD">
        <w:rPr>
          <w:szCs w:val="24"/>
        </w:rPr>
        <w:t xml:space="preserve">provide a framework in which </w:t>
      </w:r>
      <w:r w:rsidRPr="00922244">
        <w:rPr>
          <w:szCs w:val="24"/>
        </w:rPr>
        <w:t xml:space="preserve">all variables </w:t>
      </w:r>
      <w:r w:rsidR="00CE64CD">
        <w:rPr>
          <w:szCs w:val="24"/>
        </w:rPr>
        <w:t>can</w:t>
      </w:r>
      <w:r w:rsidRPr="00922244">
        <w:rPr>
          <w:szCs w:val="24"/>
        </w:rPr>
        <w:t xml:space="preserve">, in principle, be affected by each </w:t>
      </w:r>
      <w:r w:rsidR="00765EC2" w:rsidRPr="00922244">
        <w:rPr>
          <w:szCs w:val="24"/>
        </w:rPr>
        <w:t>other helping</w:t>
      </w:r>
      <w:r w:rsidR="00CE64CD">
        <w:rPr>
          <w:szCs w:val="24"/>
        </w:rPr>
        <w:t xml:space="preserve"> </w:t>
      </w:r>
      <w:r w:rsidRPr="00922244">
        <w:rPr>
          <w:szCs w:val="24"/>
        </w:rPr>
        <w:t xml:space="preserve">capture interdependence. The paper’s starting point </w:t>
      </w:r>
      <w:r w:rsidR="00CE64CD">
        <w:rPr>
          <w:szCs w:val="24"/>
        </w:rPr>
        <w:t xml:space="preserve">is </w:t>
      </w:r>
      <w:r w:rsidR="000B27E1">
        <w:rPr>
          <w:szCs w:val="24"/>
        </w:rPr>
        <w:t xml:space="preserve">a </w:t>
      </w:r>
      <w:r w:rsidRPr="00922244">
        <w:rPr>
          <w:i/>
          <w:szCs w:val="24"/>
        </w:rPr>
        <w:t>baseline</w:t>
      </w:r>
      <w:r w:rsidRPr="00922244">
        <w:rPr>
          <w:szCs w:val="24"/>
        </w:rPr>
        <w:t xml:space="preserve"> SVAR model </w:t>
      </w:r>
      <w:r w:rsidR="00CE64CD">
        <w:rPr>
          <w:szCs w:val="24"/>
        </w:rPr>
        <w:t xml:space="preserve">that </w:t>
      </w:r>
      <w:r w:rsidR="00CE64CD" w:rsidRPr="00922244">
        <w:rPr>
          <w:szCs w:val="24"/>
        </w:rPr>
        <w:t>estimat</w:t>
      </w:r>
      <w:r w:rsidR="00CE64CD">
        <w:rPr>
          <w:szCs w:val="24"/>
        </w:rPr>
        <w:t xml:space="preserve">es </w:t>
      </w:r>
      <w:r w:rsidRPr="00922244">
        <w:rPr>
          <w:szCs w:val="24"/>
        </w:rPr>
        <w:t xml:space="preserve">the impact of global shocks </w:t>
      </w:r>
      <w:r w:rsidR="00CE64CD">
        <w:rPr>
          <w:szCs w:val="24"/>
        </w:rPr>
        <w:t xml:space="preserve">on </w:t>
      </w:r>
      <w:r w:rsidRPr="00922244">
        <w:rPr>
          <w:szCs w:val="24"/>
        </w:rPr>
        <w:t>Armenian non-</w:t>
      </w:r>
      <w:r w:rsidR="00CE64CD" w:rsidRPr="00922244">
        <w:rPr>
          <w:szCs w:val="24"/>
        </w:rPr>
        <w:t>agricultur</w:t>
      </w:r>
      <w:r w:rsidR="00CE64CD">
        <w:rPr>
          <w:szCs w:val="24"/>
        </w:rPr>
        <w:t xml:space="preserve">al </w:t>
      </w:r>
      <w:r w:rsidRPr="00922244">
        <w:rPr>
          <w:szCs w:val="24"/>
        </w:rPr>
        <w:t xml:space="preserve">GDP growth. Following Chowla, Quaglietti and Rachel (2014), the </w:t>
      </w:r>
      <w:r w:rsidRPr="00922244">
        <w:rPr>
          <w:i/>
          <w:szCs w:val="24"/>
        </w:rPr>
        <w:t>baseline</w:t>
      </w:r>
      <w:r w:rsidRPr="00922244">
        <w:rPr>
          <w:szCs w:val="24"/>
        </w:rPr>
        <w:t xml:space="preserve"> SVAR include</w:t>
      </w:r>
      <w:r w:rsidR="00CE64CD">
        <w:rPr>
          <w:szCs w:val="24"/>
        </w:rPr>
        <w:t>s</w:t>
      </w:r>
      <w:r w:rsidRPr="00922244">
        <w:rPr>
          <w:szCs w:val="24"/>
        </w:rPr>
        <w:t xml:space="preserve"> three types of shocks: (i) </w:t>
      </w:r>
      <w:r w:rsidRPr="000B27E1">
        <w:rPr>
          <w:i/>
          <w:szCs w:val="24"/>
        </w:rPr>
        <w:t>world demand shocks</w:t>
      </w:r>
      <w:r w:rsidRPr="00922244">
        <w:rPr>
          <w:szCs w:val="24"/>
        </w:rPr>
        <w:t xml:space="preserve">, which </w:t>
      </w:r>
      <w:r w:rsidR="00CE64CD">
        <w:rPr>
          <w:szCs w:val="24"/>
        </w:rPr>
        <w:t xml:space="preserve">are </w:t>
      </w:r>
      <w:r w:rsidRPr="00922244">
        <w:rPr>
          <w:szCs w:val="24"/>
        </w:rPr>
        <w:t xml:space="preserve">represented by </w:t>
      </w:r>
      <w:r w:rsidR="00CE64CD">
        <w:rPr>
          <w:szCs w:val="24"/>
        </w:rPr>
        <w:t xml:space="preserve">changes </w:t>
      </w:r>
      <w:r w:rsidRPr="00922244">
        <w:rPr>
          <w:szCs w:val="24"/>
        </w:rPr>
        <w:t>in the growth rate of an indicator of world GDP; (ii</w:t>
      </w:r>
      <w:r w:rsidRPr="000B27E1">
        <w:rPr>
          <w:i/>
          <w:szCs w:val="24"/>
        </w:rPr>
        <w:t>) world supply shocks</w:t>
      </w:r>
      <w:r w:rsidRPr="00922244">
        <w:rPr>
          <w:szCs w:val="24"/>
        </w:rPr>
        <w:t xml:space="preserve">, which </w:t>
      </w:r>
      <w:r w:rsidR="00CE64CD">
        <w:rPr>
          <w:szCs w:val="24"/>
        </w:rPr>
        <w:t xml:space="preserve">are </w:t>
      </w:r>
      <w:r w:rsidRPr="00922244">
        <w:rPr>
          <w:szCs w:val="24"/>
        </w:rPr>
        <w:t xml:space="preserve">given by </w:t>
      </w:r>
      <w:r w:rsidR="00CE64CD">
        <w:rPr>
          <w:szCs w:val="24"/>
        </w:rPr>
        <w:t xml:space="preserve">changes </w:t>
      </w:r>
      <w:r w:rsidRPr="00922244">
        <w:rPr>
          <w:szCs w:val="24"/>
        </w:rPr>
        <w:t xml:space="preserve">in an indicator of international commodity prices; and (iii) </w:t>
      </w:r>
      <w:r w:rsidRPr="000B27E1">
        <w:rPr>
          <w:i/>
          <w:szCs w:val="24"/>
        </w:rPr>
        <w:t>world financial shocks</w:t>
      </w:r>
      <w:r w:rsidRPr="00922244">
        <w:rPr>
          <w:szCs w:val="24"/>
        </w:rPr>
        <w:t xml:space="preserve">, represented by changes in international financial conditions (see Annex I for an overview of </w:t>
      </w:r>
      <w:r w:rsidR="000B27E1">
        <w:rPr>
          <w:szCs w:val="24"/>
        </w:rPr>
        <w:t xml:space="preserve">relevant </w:t>
      </w:r>
      <w:r w:rsidRPr="00922244">
        <w:rPr>
          <w:szCs w:val="24"/>
        </w:rPr>
        <w:t xml:space="preserve">literature). The </w:t>
      </w:r>
      <w:r w:rsidRPr="00922244">
        <w:rPr>
          <w:i/>
          <w:szCs w:val="24"/>
        </w:rPr>
        <w:t xml:space="preserve">baseline </w:t>
      </w:r>
      <w:r w:rsidRPr="00922244">
        <w:rPr>
          <w:szCs w:val="24"/>
        </w:rPr>
        <w:t>SVAR impose</w:t>
      </w:r>
      <w:r w:rsidR="00CE64CD">
        <w:rPr>
          <w:szCs w:val="24"/>
        </w:rPr>
        <w:t>s</w:t>
      </w:r>
      <w:r w:rsidRPr="00922244">
        <w:rPr>
          <w:szCs w:val="24"/>
        </w:rPr>
        <w:t xml:space="preserve"> structure on the data, which help</w:t>
      </w:r>
      <w:r w:rsidR="00CE64CD">
        <w:rPr>
          <w:szCs w:val="24"/>
        </w:rPr>
        <w:t>s</w:t>
      </w:r>
      <w:r w:rsidRPr="00922244">
        <w:rPr>
          <w:szCs w:val="24"/>
        </w:rPr>
        <w:t xml:space="preserve"> trace </w:t>
      </w:r>
      <w:r w:rsidR="00CE64CD" w:rsidRPr="00922244">
        <w:rPr>
          <w:szCs w:val="24"/>
        </w:rPr>
        <w:t>shock</w:t>
      </w:r>
      <w:r w:rsidR="00CE64CD">
        <w:rPr>
          <w:szCs w:val="24"/>
        </w:rPr>
        <w:t xml:space="preserve"> </w:t>
      </w:r>
      <w:r w:rsidRPr="00922244">
        <w:rPr>
          <w:szCs w:val="24"/>
        </w:rPr>
        <w:t>impact</w:t>
      </w:r>
      <w:r w:rsidR="00CE64CD">
        <w:rPr>
          <w:szCs w:val="24"/>
        </w:rPr>
        <w:t>s</w:t>
      </w:r>
      <w:r w:rsidRPr="00922244">
        <w:rPr>
          <w:szCs w:val="24"/>
        </w:rPr>
        <w:t xml:space="preserve"> on Armenian GDP growth. </w:t>
      </w:r>
    </w:p>
    <w:p w:rsidR="00D633A4" w:rsidRPr="00922244" w:rsidRDefault="00D633A4" w:rsidP="00D633A4">
      <w:pPr>
        <w:tabs>
          <w:tab w:val="left" w:pos="0"/>
        </w:tabs>
        <w:autoSpaceDE w:val="0"/>
        <w:autoSpaceDN w:val="0"/>
        <w:adjustRightInd w:val="0"/>
        <w:spacing w:after="120"/>
        <w:rPr>
          <w:szCs w:val="24"/>
        </w:rPr>
      </w:pPr>
      <w:r w:rsidRPr="00922244">
        <w:rPr>
          <w:szCs w:val="24"/>
        </w:rPr>
        <w:t xml:space="preserve">Following Blanchard and Quah (1989), the variables included in the </w:t>
      </w:r>
      <w:r w:rsidRPr="00922244">
        <w:rPr>
          <w:i/>
          <w:szCs w:val="24"/>
        </w:rPr>
        <w:t>baseline</w:t>
      </w:r>
      <w:r w:rsidRPr="00922244">
        <w:rPr>
          <w:szCs w:val="24"/>
        </w:rPr>
        <w:t xml:space="preserve"> SVAR are ordered as:</w:t>
      </w:r>
    </w:p>
    <w:p w:rsidR="00D633A4" w:rsidRPr="00922244" w:rsidRDefault="00D633A4" w:rsidP="00D633A4">
      <w:pPr>
        <w:tabs>
          <w:tab w:val="left" w:pos="0"/>
        </w:tabs>
        <w:autoSpaceDE w:val="0"/>
        <w:autoSpaceDN w:val="0"/>
        <w:adjustRightInd w:val="0"/>
        <w:jc w:val="center"/>
        <w:rPr>
          <w:szCs w:val="24"/>
        </w:rPr>
      </w:pPr>
      <w:r w:rsidRPr="00922244">
        <w:rPr>
          <w:position w:val="-12"/>
          <w:szCs w:val="24"/>
        </w:rPr>
        <w:object w:dxaOrig="3840" w:dyaOrig="480">
          <v:shape id="_x0000_i1025" type="#_x0000_t75" style="width:192pt;height:24pt" o:ole="">
            <v:imagedata r:id="rId35" o:title=""/>
          </v:shape>
          <o:OLEObject Type="Embed" ProgID="Equation.3" ShapeID="_x0000_i1025" DrawAspect="Content" ObjectID="_1492257004" r:id="rId36"/>
        </w:object>
      </w:r>
      <w:r>
        <w:rPr>
          <w:szCs w:val="24"/>
        </w:rPr>
        <w:t>.</w:t>
      </w:r>
    </w:p>
    <w:p w:rsidR="00D633A4" w:rsidRPr="00922244" w:rsidRDefault="00D633A4" w:rsidP="00D633A4">
      <w:pPr>
        <w:tabs>
          <w:tab w:val="left" w:pos="0"/>
        </w:tabs>
        <w:autoSpaceDE w:val="0"/>
        <w:autoSpaceDN w:val="0"/>
        <w:adjustRightInd w:val="0"/>
        <w:rPr>
          <w:szCs w:val="24"/>
        </w:rPr>
      </w:pPr>
    </w:p>
    <w:p w:rsidR="00D633A4" w:rsidRDefault="00D633A4" w:rsidP="00D633A4">
      <w:pPr>
        <w:tabs>
          <w:tab w:val="left" w:pos="0"/>
        </w:tabs>
        <w:autoSpaceDE w:val="0"/>
        <w:autoSpaceDN w:val="0"/>
        <w:adjustRightInd w:val="0"/>
        <w:rPr>
          <w:szCs w:val="24"/>
        </w:rPr>
      </w:pPr>
      <w:r w:rsidRPr="00076E6C">
        <w:rPr>
          <w:color w:val="000000" w:themeColor="text1"/>
          <w:szCs w:val="24"/>
        </w:rPr>
        <w:t xml:space="preserve">Where  </w:t>
      </w:r>
      <w:r w:rsidRPr="00076E6C">
        <w:rPr>
          <w:color w:val="000000" w:themeColor="text1"/>
          <w:position w:val="-12"/>
        </w:rPr>
        <w:object w:dxaOrig="740" w:dyaOrig="380">
          <v:shape id="_x0000_i1026" type="#_x0000_t75" style="width:36.95pt;height:18.8pt" o:ole="">
            <v:imagedata r:id="rId37" o:title=""/>
          </v:shape>
          <o:OLEObject Type="Embed" ProgID="Equation.3" ShapeID="_x0000_i1026" DrawAspect="Content" ObjectID="_1492257005" r:id="rId38"/>
        </w:object>
      </w:r>
      <w:r w:rsidRPr="00922244">
        <w:rPr>
          <w:szCs w:val="24"/>
        </w:rPr>
        <w:t xml:space="preserve"> is </w:t>
      </w:r>
      <w:r>
        <w:rPr>
          <w:szCs w:val="24"/>
        </w:rPr>
        <w:t xml:space="preserve">the </w:t>
      </w:r>
      <w:r w:rsidRPr="00922244">
        <w:rPr>
          <w:szCs w:val="24"/>
        </w:rPr>
        <w:t xml:space="preserve">change in world commodity prices </w:t>
      </w:r>
      <w:r>
        <w:rPr>
          <w:szCs w:val="24"/>
        </w:rPr>
        <w:t>indicator</w:t>
      </w:r>
      <w:r w:rsidRPr="00922244">
        <w:rPr>
          <w:szCs w:val="24"/>
        </w:rPr>
        <w:t xml:space="preserve">, </w:t>
      </w:r>
      <w:r w:rsidRPr="00B9488B">
        <w:rPr>
          <w:position w:val="-12"/>
        </w:rPr>
        <w:object w:dxaOrig="740" w:dyaOrig="380">
          <v:shape id="_x0000_i1027" type="#_x0000_t75" style="width:36.95pt;height:18.8pt" o:ole="">
            <v:imagedata r:id="rId39" o:title=""/>
          </v:shape>
          <o:OLEObject Type="Embed" ProgID="Equation.3" ShapeID="_x0000_i1027" DrawAspect="Content" ObjectID="_1492257006" r:id="rId40"/>
        </w:object>
      </w:r>
      <w:r w:rsidRPr="00922244">
        <w:rPr>
          <w:szCs w:val="24"/>
        </w:rPr>
        <w:t xml:space="preserve"> is the growth rate of an indicator of world economic activity, </w:t>
      </w:r>
      <w:r w:rsidRPr="00B9488B">
        <w:rPr>
          <w:position w:val="-12"/>
        </w:rPr>
        <w:object w:dxaOrig="760" w:dyaOrig="380">
          <v:shape id="_x0000_i1028" type="#_x0000_t75" style="width:37.6pt;height:18.8pt" o:ole="">
            <v:imagedata r:id="rId41" o:title=""/>
          </v:shape>
          <o:OLEObject Type="Embed" ProgID="Equation.3" ShapeID="_x0000_i1028" DrawAspect="Content" ObjectID="_1492257007" r:id="rId42"/>
        </w:object>
      </w:r>
      <w:r w:rsidRPr="00922244">
        <w:rPr>
          <w:szCs w:val="24"/>
        </w:rPr>
        <w:t xml:space="preserve"> is the change in an indicator of international financial conditions, and </w:t>
      </w:r>
      <w:r w:rsidRPr="00B9488B">
        <w:rPr>
          <w:position w:val="-12"/>
        </w:rPr>
        <w:object w:dxaOrig="900" w:dyaOrig="380">
          <v:shape id="_x0000_i1029" type="#_x0000_t75" style="width:44.75pt;height:18.8pt" o:ole="">
            <v:imagedata r:id="rId43" o:title=""/>
          </v:shape>
          <o:OLEObject Type="Embed" ProgID="Equation.3" ShapeID="_x0000_i1029" DrawAspect="Content" ObjectID="_1492257008" r:id="rId44"/>
        </w:object>
      </w:r>
      <w:r w:rsidRPr="00922244">
        <w:rPr>
          <w:szCs w:val="24"/>
        </w:rPr>
        <w:t xml:space="preserve"> is the growth rate in Armenia’s non-agricultural real GDP.</w:t>
      </w:r>
    </w:p>
    <w:p w:rsidR="000B27E1" w:rsidRPr="00922244" w:rsidRDefault="000B27E1" w:rsidP="00D633A4">
      <w:pPr>
        <w:tabs>
          <w:tab w:val="left" w:pos="0"/>
        </w:tabs>
        <w:autoSpaceDE w:val="0"/>
        <w:autoSpaceDN w:val="0"/>
        <w:adjustRightInd w:val="0"/>
        <w:rPr>
          <w:szCs w:val="24"/>
        </w:rPr>
      </w:pPr>
    </w:p>
    <w:p w:rsidR="00D633A4" w:rsidRPr="00922244" w:rsidRDefault="00D633A4" w:rsidP="00D633A4">
      <w:pPr>
        <w:tabs>
          <w:tab w:val="left" w:pos="0"/>
        </w:tabs>
        <w:autoSpaceDE w:val="0"/>
        <w:autoSpaceDN w:val="0"/>
        <w:adjustRightInd w:val="0"/>
        <w:rPr>
          <w:szCs w:val="24"/>
        </w:rPr>
      </w:pPr>
      <w:r w:rsidRPr="00922244">
        <w:rPr>
          <w:szCs w:val="24"/>
        </w:rPr>
        <w:t>The reduced-form SVAR is:</w:t>
      </w:r>
    </w:p>
    <w:p w:rsidR="00D633A4" w:rsidRPr="00922244" w:rsidRDefault="00D633A4" w:rsidP="00D633A4">
      <w:pPr>
        <w:tabs>
          <w:tab w:val="left" w:pos="0"/>
        </w:tabs>
        <w:autoSpaceDE w:val="0"/>
        <w:autoSpaceDN w:val="0"/>
        <w:adjustRightInd w:val="0"/>
        <w:rPr>
          <w:szCs w:val="24"/>
        </w:rPr>
      </w:pPr>
    </w:p>
    <w:p w:rsidR="00D633A4" w:rsidRPr="00922244" w:rsidRDefault="00D633A4" w:rsidP="00D633A4">
      <w:pPr>
        <w:tabs>
          <w:tab w:val="left" w:pos="0"/>
        </w:tabs>
        <w:autoSpaceDE w:val="0"/>
        <w:autoSpaceDN w:val="0"/>
        <w:adjustRightInd w:val="0"/>
        <w:jc w:val="center"/>
        <w:rPr>
          <w:szCs w:val="24"/>
        </w:rPr>
      </w:pPr>
      <w:r w:rsidRPr="00922244">
        <w:rPr>
          <w:position w:val="-18"/>
          <w:szCs w:val="24"/>
        </w:rPr>
        <w:object w:dxaOrig="2500" w:dyaOrig="480">
          <v:shape id="_x0000_i1030" type="#_x0000_t75" style="width:123.9pt;height:24pt" o:ole="">
            <v:imagedata r:id="rId45" o:title=""/>
          </v:shape>
          <o:OLEObject Type="Embed" ProgID="Equation.3" ShapeID="_x0000_i1030" DrawAspect="Content" ObjectID="_1492257009" r:id="rId46"/>
        </w:object>
      </w:r>
      <w:r w:rsidRPr="00922244">
        <w:rPr>
          <w:szCs w:val="24"/>
        </w:rPr>
        <w:t xml:space="preserve">,   </w:t>
      </w:r>
      <w:r w:rsidRPr="00922244">
        <w:rPr>
          <w:position w:val="-12"/>
          <w:szCs w:val="24"/>
        </w:rPr>
        <w:object w:dxaOrig="1260" w:dyaOrig="460">
          <v:shape id="_x0000_i1031" type="#_x0000_t75" style="width:62.85pt;height:22.7pt" o:ole="">
            <v:imagedata r:id="rId47" o:title=""/>
          </v:shape>
          <o:OLEObject Type="Embed" ProgID="Equation.3" ShapeID="_x0000_i1031" DrawAspect="Content" ObjectID="_1492257010" r:id="rId48"/>
        </w:object>
      </w:r>
    </w:p>
    <w:p w:rsidR="00D633A4" w:rsidRPr="00922244" w:rsidRDefault="00D633A4" w:rsidP="00D633A4">
      <w:pPr>
        <w:tabs>
          <w:tab w:val="left" w:pos="0"/>
        </w:tabs>
        <w:autoSpaceDE w:val="0"/>
        <w:autoSpaceDN w:val="0"/>
        <w:adjustRightInd w:val="0"/>
        <w:jc w:val="center"/>
        <w:rPr>
          <w:szCs w:val="24"/>
        </w:rPr>
      </w:pPr>
    </w:p>
    <w:p w:rsidR="00D633A4" w:rsidRPr="00922244" w:rsidRDefault="00B03805" w:rsidP="00D633A4">
      <w:pPr>
        <w:tabs>
          <w:tab w:val="left" w:pos="0"/>
        </w:tabs>
        <w:autoSpaceDE w:val="0"/>
        <w:autoSpaceDN w:val="0"/>
        <w:adjustRightInd w:val="0"/>
        <w:rPr>
          <w:szCs w:val="24"/>
        </w:rPr>
      </w:pPr>
      <w:r w:rsidRPr="00922244">
        <w:rPr>
          <w:szCs w:val="24"/>
        </w:rPr>
        <w:t>Where</w:t>
      </w:r>
      <w:r w:rsidR="00D633A4" w:rsidRPr="00922244">
        <w:rPr>
          <w:position w:val="-6"/>
          <w:szCs w:val="24"/>
        </w:rPr>
        <w:object w:dxaOrig="180" w:dyaOrig="220">
          <v:shape id="_x0000_i1032" type="#_x0000_t75" style="width:12.95pt;height:12.3pt" o:ole="">
            <v:imagedata r:id="rId49" o:title=""/>
          </v:shape>
          <o:OLEObject Type="Embed" ProgID="Equation.3" ShapeID="_x0000_i1032" DrawAspect="Content" ObjectID="_1492257011" r:id="rId50"/>
        </w:object>
      </w:r>
      <w:r w:rsidR="00D633A4" w:rsidRPr="00922244">
        <w:rPr>
          <w:szCs w:val="24"/>
        </w:rPr>
        <w:t xml:space="preserve">is a constant and </w:t>
      </w:r>
      <w:r w:rsidR="00D633A4" w:rsidRPr="00922244">
        <w:rPr>
          <w:position w:val="-12"/>
          <w:szCs w:val="24"/>
        </w:rPr>
        <w:object w:dxaOrig="279" w:dyaOrig="360">
          <v:shape id="_x0000_i1033" type="#_x0000_t75" style="width:12.95pt;height:18.15pt" o:ole="">
            <v:imagedata r:id="rId51" o:title=""/>
          </v:shape>
          <o:OLEObject Type="Embed" ProgID="Equation.3" ShapeID="_x0000_i1033" DrawAspect="Content" ObjectID="_1492257012" r:id="rId52"/>
        </w:object>
      </w:r>
      <w:r w:rsidR="00D633A4" w:rsidRPr="00922244">
        <w:rPr>
          <w:szCs w:val="24"/>
        </w:rPr>
        <w:t xml:space="preserve"> is the matrix </w:t>
      </w:r>
      <w:r w:rsidR="000B27E1">
        <w:rPr>
          <w:szCs w:val="24"/>
        </w:rPr>
        <w:t xml:space="preserve">of </w:t>
      </w:r>
      <w:r w:rsidR="00D633A4" w:rsidRPr="00922244">
        <w:rPr>
          <w:szCs w:val="24"/>
        </w:rPr>
        <w:t xml:space="preserve">variables. The reduced-form residuals </w:t>
      </w:r>
      <w:r w:rsidR="00D633A4" w:rsidRPr="00922244">
        <w:rPr>
          <w:position w:val="-12"/>
          <w:szCs w:val="24"/>
        </w:rPr>
        <w:object w:dxaOrig="240" w:dyaOrig="360">
          <v:shape id="_x0000_i1034" type="#_x0000_t75" style="width:12.3pt;height:18.15pt" o:ole="">
            <v:imagedata r:id="rId53" o:title=""/>
          </v:shape>
          <o:OLEObject Type="Embed" ProgID="Equation.3" ShapeID="_x0000_i1034" DrawAspect="Content" ObjectID="_1492257013" r:id="rId54"/>
        </w:object>
      </w:r>
      <w:r w:rsidR="00D633A4" w:rsidRPr="00922244">
        <w:rPr>
          <w:szCs w:val="24"/>
        </w:rPr>
        <w:t xml:space="preserve">are mapped into the structural shocks </w:t>
      </w:r>
      <w:r w:rsidR="00D633A4" w:rsidRPr="00922244">
        <w:rPr>
          <w:position w:val="-12"/>
          <w:szCs w:val="24"/>
        </w:rPr>
        <w:object w:dxaOrig="240" w:dyaOrig="360">
          <v:shape id="_x0000_i1035" type="#_x0000_t75" style="width:12.3pt;height:18.15pt" o:ole="">
            <v:imagedata r:id="rId55" o:title=""/>
          </v:shape>
          <o:OLEObject Type="Embed" ProgID="Equation.3" ShapeID="_x0000_i1035" DrawAspect="Content" ObjectID="_1492257014" r:id="rId56"/>
        </w:object>
      </w:r>
      <w:r w:rsidR="00D633A4" w:rsidRPr="00922244">
        <w:rPr>
          <w:szCs w:val="24"/>
        </w:rPr>
        <w:t xml:space="preserve"> by the structural matrix </w:t>
      </w:r>
      <w:r w:rsidR="00D633A4" w:rsidRPr="00922244">
        <w:rPr>
          <w:position w:val="-12"/>
          <w:szCs w:val="24"/>
        </w:rPr>
        <w:object w:dxaOrig="320" w:dyaOrig="360">
          <v:shape id="_x0000_i1036" type="#_x0000_t75" style="width:16.2pt;height:18.15pt" o:ole="">
            <v:imagedata r:id="rId57" o:title=""/>
          </v:shape>
          <o:OLEObject Type="Embed" ProgID="Equation.3" ShapeID="_x0000_i1036" DrawAspect="Content" ObjectID="_1492257015" r:id="rId58"/>
        </w:object>
      </w:r>
      <w:r w:rsidR="00D633A4" w:rsidRPr="00922244">
        <w:rPr>
          <w:szCs w:val="24"/>
        </w:rPr>
        <w:t>:</w:t>
      </w:r>
    </w:p>
    <w:p w:rsidR="00D633A4" w:rsidRPr="00922244" w:rsidRDefault="00D633A4" w:rsidP="00D633A4">
      <w:pPr>
        <w:tabs>
          <w:tab w:val="left" w:pos="0"/>
        </w:tabs>
        <w:autoSpaceDE w:val="0"/>
        <w:autoSpaceDN w:val="0"/>
        <w:adjustRightInd w:val="0"/>
        <w:rPr>
          <w:szCs w:val="24"/>
        </w:rPr>
      </w:pPr>
    </w:p>
    <w:p w:rsidR="00D633A4" w:rsidRPr="00922244" w:rsidRDefault="00D633A4" w:rsidP="00D633A4">
      <w:pPr>
        <w:tabs>
          <w:tab w:val="left" w:pos="0"/>
        </w:tabs>
        <w:autoSpaceDE w:val="0"/>
        <w:autoSpaceDN w:val="0"/>
        <w:adjustRightInd w:val="0"/>
        <w:jc w:val="center"/>
        <w:rPr>
          <w:szCs w:val="24"/>
        </w:rPr>
      </w:pPr>
      <w:r w:rsidRPr="00922244">
        <w:rPr>
          <w:szCs w:val="24"/>
        </w:rPr>
        <w:object w:dxaOrig="920" w:dyaOrig="360">
          <v:shape id="_x0000_i1037" type="#_x0000_t75" style="width:45.4pt;height:18.15pt" o:ole="">
            <v:imagedata r:id="rId59" o:title=""/>
          </v:shape>
          <o:OLEObject Type="Embed" ProgID="Equation.3" ShapeID="_x0000_i1037" DrawAspect="Content" ObjectID="_1492257016" r:id="rId60"/>
        </w:object>
      </w:r>
      <w:r w:rsidRPr="00922244">
        <w:rPr>
          <w:szCs w:val="24"/>
        </w:rPr>
        <w:t>.</w:t>
      </w:r>
    </w:p>
    <w:p w:rsidR="00D633A4" w:rsidRPr="00922244" w:rsidRDefault="008C2CD2" w:rsidP="00D633A4">
      <w:pPr>
        <w:tabs>
          <w:tab w:val="left" w:pos="0"/>
        </w:tabs>
        <w:autoSpaceDE w:val="0"/>
        <w:autoSpaceDN w:val="0"/>
        <w:adjustRightInd w:val="0"/>
        <w:rPr>
          <w:szCs w:val="24"/>
        </w:rPr>
      </w:pPr>
      <w:r>
        <w:rPr>
          <w:szCs w:val="24"/>
        </w:rPr>
        <w:t>The i</w:t>
      </w:r>
      <w:r w:rsidR="00D633A4" w:rsidRPr="00922244">
        <w:rPr>
          <w:szCs w:val="24"/>
        </w:rPr>
        <w:t xml:space="preserve">nverse of the Choleski factor of the variance-covariance matrix </w:t>
      </w:r>
      <w:r w:rsidR="00D633A4" w:rsidRPr="00922244">
        <w:rPr>
          <w:position w:val="-6"/>
          <w:szCs w:val="24"/>
        </w:rPr>
        <w:object w:dxaOrig="240" w:dyaOrig="279">
          <v:shape id="_x0000_i1038" type="#_x0000_t75" style="width:12.3pt;height:12.95pt" o:ole="">
            <v:imagedata r:id="rId61" o:title=""/>
          </v:shape>
          <o:OLEObject Type="Embed" ProgID="Equation.3" ShapeID="_x0000_i1038" DrawAspect="Content" ObjectID="_1492257017" r:id="rId62"/>
        </w:object>
      </w:r>
      <w:r w:rsidR="00D633A4" w:rsidRPr="00922244">
        <w:rPr>
          <w:szCs w:val="24"/>
        </w:rPr>
        <w:t>identifies structural shocks that are orthogonal to each other,</w:t>
      </w:r>
      <w:r w:rsidR="00FA78E1">
        <w:rPr>
          <w:szCs w:val="24"/>
        </w:rPr>
        <w:t xml:space="preserve"> i.e. </w:t>
      </w:r>
      <w:r w:rsidR="00D633A4" w:rsidRPr="00922244">
        <w:rPr>
          <w:position w:val="-12"/>
          <w:szCs w:val="24"/>
        </w:rPr>
        <w:object w:dxaOrig="1219" w:dyaOrig="460">
          <v:shape id="_x0000_i1039" type="#_x0000_t75" style="width:59.65pt;height:22.7pt" o:ole="">
            <v:imagedata r:id="rId63" o:title=""/>
          </v:shape>
          <o:OLEObject Type="Embed" ProgID="Equation.3" ShapeID="_x0000_i1039" DrawAspect="Content" ObjectID="_1492257018" r:id="rId64"/>
        </w:object>
      </w:r>
      <w:r w:rsidR="00D633A4" w:rsidRPr="00922244">
        <w:rPr>
          <w:szCs w:val="24"/>
        </w:rPr>
        <w:t>, where</w:t>
      </w:r>
      <w:r w:rsidR="00D633A4" w:rsidRPr="00922244">
        <w:rPr>
          <w:position w:val="-4"/>
          <w:szCs w:val="24"/>
        </w:rPr>
        <w:object w:dxaOrig="200" w:dyaOrig="260">
          <v:shape id="_x0000_i1040" type="#_x0000_t75" style="width:9.1pt;height:12.95pt" o:ole="">
            <v:imagedata r:id="rId65" o:title=""/>
          </v:shape>
          <o:OLEObject Type="Embed" ProgID="Equation.3" ShapeID="_x0000_i1040" DrawAspect="Content" ObjectID="_1492257019" r:id="rId66"/>
        </w:object>
      </w:r>
      <w:r w:rsidR="00D633A4" w:rsidRPr="00922244">
        <w:rPr>
          <w:szCs w:val="24"/>
        </w:rPr>
        <w:t xml:space="preserve">is the identity matrix. The long-run effects of the structural shocks are given by: </w:t>
      </w:r>
      <w:r w:rsidR="00D633A4" w:rsidRPr="00922244">
        <w:rPr>
          <w:position w:val="-12"/>
          <w:szCs w:val="24"/>
        </w:rPr>
        <w:object w:dxaOrig="960" w:dyaOrig="360">
          <v:shape id="_x0000_i1041" type="#_x0000_t75" style="width:48pt;height:18.15pt" o:ole="">
            <v:imagedata r:id="rId67" o:title=""/>
          </v:shape>
          <o:OLEObject Type="Embed" ProgID="Equation.3" ShapeID="_x0000_i1041" DrawAspect="Content" ObjectID="_1492257020" r:id="rId68"/>
        </w:object>
      </w:r>
      <w:r w:rsidR="00D633A4" w:rsidRPr="00922244">
        <w:rPr>
          <w:szCs w:val="24"/>
        </w:rPr>
        <w:t xml:space="preserve">. This is equivalent to </w:t>
      </w:r>
      <w:r w:rsidRPr="00922244">
        <w:rPr>
          <w:szCs w:val="24"/>
        </w:rPr>
        <w:t>assum</w:t>
      </w:r>
      <w:r>
        <w:rPr>
          <w:szCs w:val="24"/>
        </w:rPr>
        <w:t xml:space="preserve">ing </w:t>
      </w:r>
      <w:r w:rsidR="00D633A4" w:rsidRPr="00922244">
        <w:rPr>
          <w:szCs w:val="24"/>
        </w:rPr>
        <w:t xml:space="preserve">that the </w:t>
      </w:r>
      <w:r w:rsidR="00765EC2" w:rsidRPr="00922244">
        <w:rPr>
          <w:szCs w:val="24"/>
        </w:rPr>
        <w:t>impact of structural shocks in Armenian non-agricultural GDP has</w:t>
      </w:r>
      <w:r w:rsidR="00D633A4" w:rsidRPr="00922244">
        <w:rPr>
          <w:szCs w:val="24"/>
        </w:rPr>
        <w:t xml:space="preserve"> zero effects on shocks in the world economy. In other words, under </w:t>
      </w:r>
      <w:r w:rsidR="000B27E1">
        <w:rPr>
          <w:szCs w:val="24"/>
        </w:rPr>
        <w:t xml:space="preserve">our </w:t>
      </w:r>
      <w:r w:rsidR="000B27E1">
        <w:rPr>
          <w:i/>
          <w:szCs w:val="24"/>
        </w:rPr>
        <w:t xml:space="preserve">baseline </w:t>
      </w:r>
      <w:r w:rsidR="000B27E1">
        <w:rPr>
          <w:szCs w:val="24"/>
        </w:rPr>
        <w:t xml:space="preserve">SVAR </w:t>
      </w:r>
      <w:r w:rsidR="00D633A4" w:rsidRPr="00922244">
        <w:rPr>
          <w:szCs w:val="24"/>
        </w:rPr>
        <w:t>model the real growth rate of Armenian non-agricultural GDP is affected by world shocks</w:t>
      </w:r>
      <w:r w:rsidR="000B27E1">
        <w:rPr>
          <w:szCs w:val="24"/>
        </w:rPr>
        <w:t xml:space="preserve">, yet it does </w:t>
      </w:r>
      <w:r w:rsidR="00D633A4" w:rsidRPr="00922244">
        <w:rPr>
          <w:szCs w:val="24"/>
        </w:rPr>
        <w:t xml:space="preserve">not have any influence on world economic activity.  </w:t>
      </w:r>
    </w:p>
    <w:p w:rsidR="00D633A4" w:rsidRPr="00922244" w:rsidRDefault="00D633A4" w:rsidP="00D633A4">
      <w:pPr>
        <w:tabs>
          <w:tab w:val="left" w:pos="0"/>
        </w:tabs>
        <w:autoSpaceDE w:val="0"/>
        <w:autoSpaceDN w:val="0"/>
        <w:adjustRightInd w:val="0"/>
        <w:jc w:val="both"/>
        <w:rPr>
          <w:szCs w:val="24"/>
        </w:rPr>
      </w:pPr>
    </w:p>
    <w:p w:rsidR="00D633A4" w:rsidRPr="00922244" w:rsidRDefault="00D633A4" w:rsidP="00D633A4">
      <w:pPr>
        <w:pStyle w:val="Heading2"/>
        <w:numPr>
          <w:ilvl w:val="0"/>
          <w:numId w:val="19"/>
        </w:numPr>
        <w:tabs>
          <w:tab w:val="left" w:pos="0"/>
        </w:tabs>
        <w:autoSpaceDE w:val="0"/>
        <w:autoSpaceDN w:val="0"/>
        <w:adjustRightInd w:val="0"/>
        <w:spacing w:after="120"/>
        <w:rPr>
          <w:rFonts w:cs="Times New Roman"/>
          <w:b w:val="0"/>
          <w:color w:val="000000" w:themeColor="text1"/>
          <w:szCs w:val="24"/>
        </w:rPr>
      </w:pPr>
      <w:r w:rsidRPr="00922244">
        <w:rPr>
          <w:rFonts w:cs="Times New Roman"/>
          <w:color w:val="000000" w:themeColor="text1"/>
          <w:szCs w:val="24"/>
        </w:rPr>
        <w:t>Decomposition of Spillovers by Geographical Areas and Transmission Channels</w:t>
      </w:r>
    </w:p>
    <w:p w:rsidR="00D633A4" w:rsidRPr="00922244" w:rsidRDefault="00D633A4" w:rsidP="00D633A4">
      <w:pPr>
        <w:tabs>
          <w:tab w:val="left" w:pos="0"/>
        </w:tabs>
        <w:autoSpaceDE w:val="0"/>
        <w:autoSpaceDN w:val="0"/>
        <w:adjustRightInd w:val="0"/>
        <w:rPr>
          <w:szCs w:val="24"/>
        </w:rPr>
      </w:pPr>
    </w:p>
    <w:p w:rsidR="00FA78E1" w:rsidRDefault="00D633A4" w:rsidP="00D633A4">
      <w:pPr>
        <w:tabs>
          <w:tab w:val="left" w:pos="0"/>
        </w:tabs>
        <w:autoSpaceDE w:val="0"/>
        <w:autoSpaceDN w:val="0"/>
        <w:adjustRightInd w:val="0"/>
        <w:rPr>
          <w:szCs w:val="24"/>
        </w:rPr>
      </w:pPr>
      <w:r w:rsidRPr="00922244">
        <w:rPr>
          <w:szCs w:val="24"/>
        </w:rPr>
        <w:t>To identify the contribution of different geographical areas</w:t>
      </w:r>
      <w:r w:rsidR="008C2CD2">
        <w:rPr>
          <w:szCs w:val="24"/>
        </w:rPr>
        <w:t>,</w:t>
      </w:r>
      <w:r w:rsidRPr="00922244">
        <w:rPr>
          <w:szCs w:val="24"/>
        </w:rPr>
        <w:t xml:space="preserve"> m</w:t>
      </w:r>
      <w:r w:rsidR="00FA78E1">
        <w:rPr>
          <w:szCs w:val="24"/>
        </w:rPr>
        <w:t xml:space="preserve">ost empirical studies based on </w:t>
      </w:r>
      <w:r w:rsidRPr="00922244">
        <w:rPr>
          <w:szCs w:val="24"/>
        </w:rPr>
        <w:t>SVAR model</w:t>
      </w:r>
      <w:r w:rsidR="00FA78E1">
        <w:rPr>
          <w:szCs w:val="24"/>
        </w:rPr>
        <w:t>s</w:t>
      </w:r>
      <w:r w:rsidRPr="00922244">
        <w:rPr>
          <w:szCs w:val="24"/>
        </w:rPr>
        <w:t xml:space="preserve"> </w:t>
      </w:r>
      <w:r w:rsidR="000B27E1">
        <w:rPr>
          <w:szCs w:val="24"/>
        </w:rPr>
        <w:t xml:space="preserve">estimate </w:t>
      </w:r>
      <w:r w:rsidR="000B27E1">
        <w:rPr>
          <w:i/>
          <w:szCs w:val="24"/>
        </w:rPr>
        <w:t xml:space="preserve">augmented </w:t>
      </w:r>
      <w:r w:rsidR="000B27E1">
        <w:rPr>
          <w:szCs w:val="24"/>
        </w:rPr>
        <w:t xml:space="preserve">SVAR that result from adding to the </w:t>
      </w:r>
      <w:r w:rsidR="000B27E1">
        <w:rPr>
          <w:i/>
          <w:szCs w:val="24"/>
        </w:rPr>
        <w:t xml:space="preserve">baseline </w:t>
      </w:r>
      <w:r w:rsidR="000B27E1">
        <w:rPr>
          <w:szCs w:val="24"/>
        </w:rPr>
        <w:t xml:space="preserve">SVAR </w:t>
      </w:r>
      <w:r w:rsidRPr="00922244">
        <w:rPr>
          <w:szCs w:val="24"/>
        </w:rPr>
        <w:t xml:space="preserve">the growth rates of the GDP of key </w:t>
      </w:r>
      <w:r w:rsidR="000B27E1">
        <w:rPr>
          <w:szCs w:val="24"/>
        </w:rPr>
        <w:t xml:space="preserve">neighboring </w:t>
      </w:r>
      <w:r w:rsidRPr="00922244">
        <w:rPr>
          <w:szCs w:val="24"/>
        </w:rPr>
        <w:t>regions. A useful example is Adler and Sosa (2012)</w:t>
      </w:r>
      <w:r w:rsidR="008C2CD2">
        <w:rPr>
          <w:szCs w:val="24"/>
        </w:rPr>
        <w:t xml:space="preserve">, which analyze </w:t>
      </w:r>
      <w:r w:rsidRPr="00922244">
        <w:rPr>
          <w:szCs w:val="24"/>
        </w:rPr>
        <w:t xml:space="preserve">the impact of Brazil and Mexico on </w:t>
      </w:r>
      <w:r w:rsidR="008C2CD2">
        <w:rPr>
          <w:szCs w:val="24"/>
        </w:rPr>
        <w:t xml:space="preserve">other </w:t>
      </w:r>
      <w:r w:rsidRPr="00922244">
        <w:rPr>
          <w:szCs w:val="24"/>
        </w:rPr>
        <w:t xml:space="preserve">Latin American countries. In the case of Armenia, the </w:t>
      </w:r>
      <w:r w:rsidRPr="00922244">
        <w:rPr>
          <w:i/>
          <w:szCs w:val="24"/>
        </w:rPr>
        <w:t xml:space="preserve">augmented </w:t>
      </w:r>
      <w:r w:rsidRPr="00922244">
        <w:rPr>
          <w:szCs w:val="24"/>
        </w:rPr>
        <w:t xml:space="preserve">SVAR </w:t>
      </w:r>
      <w:r w:rsidR="008C2CD2">
        <w:rPr>
          <w:szCs w:val="24"/>
        </w:rPr>
        <w:t>w</w:t>
      </w:r>
      <w:r w:rsidR="008C2CD2" w:rsidRPr="00922244">
        <w:rPr>
          <w:szCs w:val="24"/>
        </w:rPr>
        <w:t xml:space="preserve">ould </w:t>
      </w:r>
      <w:r w:rsidRPr="00922244">
        <w:rPr>
          <w:szCs w:val="24"/>
        </w:rPr>
        <w:t>include the real GDP growth of main trading partners, such as Russia, th</w:t>
      </w:r>
      <w:r w:rsidR="00C37F8C">
        <w:rPr>
          <w:szCs w:val="24"/>
        </w:rPr>
        <w:t>e EU and US</w:t>
      </w:r>
      <w:r w:rsidRPr="00922244">
        <w:rPr>
          <w:szCs w:val="24"/>
        </w:rPr>
        <w:t xml:space="preserve">. The identification of structural parameters in an </w:t>
      </w:r>
      <w:r w:rsidRPr="00922244">
        <w:rPr>
          <w:i/>
          <w:szCs w:val="24"/>
        </w:rPr>
        <w:t xml:space="preserve">augmented SVAR </w:t>
      </w:r>
      <w:r w:rsidRPr="00922244">
        <w:rPr>
          <w:szCs w:val="24"/>
        </w:rPr>
        <w:t xml:space="preserve">is </w:t>
      </w:r>
      <w:r w:rsidR="00C42C77">
        <w:rPr>
          <w:szCs w:val="24"/>
        </w:rPr>
        <w:t xml:space="preserve">relatively straightforward </w:t>
      </w:r>
      <w:r w:rsidRPr="00922244">
        <w:rPr>
          <w:szCs w:val="24"/>
        </w:rPr>
        <w:t xml:space="preserve">in most regions, such as </w:t>
      </w:r>
      <w:r w:rsidR="000B27E1">
        <w:rPr>
          <w:szCs w:val="24"/>
        </w:rPr>
        <w:t xml:space="preserve">in </w:t>
      </w:r>
      <w:r w:rsidRPr="00922244">
        <w:rPr>
          <w:szCs w:val="24"/>
        </w:rPr>
        <w:t>Latin America, given limited intra-regional trade and similar sensitivity to moves in international commodity prices (e.g</w:t>
      </w:r>
      <w:r w:rsidR="008C2CD2">
        <w:rPr>
          <w:szCs w:val="24"/>
        </w:rPr>
        <w:t>.,</w:t>
      </w:r>
      <w:r w:rsidRPr="00922244">
        <w:rPr>
          <w:szCs w:val="24"/>
        </w:rPr>
        <w:t xml:space="preserve"> both Mexico and Brazil benefit from an increase in commodity prices). However, in the case of Armenia, there are several specificities that make </w:t>
      </w:r>
      <w:r w:rsidR="00D06C41">
        <w:rPr>
          <w:szCs w:val="24"/>
        </w:rPr>
        <w:t xml:space="preserve">it </w:t>
      </w:r>
      <w:r w:rsidRPr="00922244">
        <w:rPr>
          <w:szCs w:val="24"/>
        </w:rPr>
        <w:t>difficult to support the assumption that structural shocks are orthogonal to each other</w:t>
      </w:r>
      <w:r w:rsidR="00FA78E1">
        <w:rPr>
          <w:szCs w:val="24"/>
        </w:rPr>
        <w:t xml:space="preserve"> in an </w:t>
      </w:r>
      <w:r w:rsidR="00FA78E1" w:rsidRPr="00FA78E1">
        <w:rPr>
          <w:i/>
          <w:szCs w:val="24"/>
        </w:rPr>
        <w:t xml:space="preserve">augmented </w:t>
      </w:r>
      <w:r w:rsidR="00FA78E1">
        <w:rPr>
          <w:szCs w:val="24"/>
        </w:rPr>
        <w:t>SVR</w:t>
      </w:r>
      <w:r w:rsidRPr="00922244">
        <w:rPr>
          <w:szCs w:val="24"/>
        </w:rPr>
        <w:t xml:space="preserve">. These </w:t>
      </w:r>
      <w:r w:rsidR="00D06C41">
        <w:rPr>
          <w:szCs w:val="24"/>
        </w:rPr>
        <w:t>include</w:t>
      </w:r>
      <w:r w:rsidRPr="00922244">
        <w:rPr>
          <w:szCs w:val="24"/>
        </w:rPr>
        <w:t>: (i) strong trade flows between the EU and Russia, and especially strong dependence of Russian economy on growth in the EU; (ii) different impact</w:t>
      </w:r>
      <w:r w:rsidR="00D06C41">
        <w:rPr>
          <w:szCs w:val="24"/>
        </w:rPr>
        <w:t>s</w:t>
      </w:r>
      <w:r w:rsidRPr="00922244">
        <w:rPr>
          <w:szCs w:val="24"/>
        </w:rPr>
        <w:t xml:space="preserve"> of an increase in commodity prices, and especially oil price</w:t>
      </w:r>
      <w:r w:rsidR="00D06C41">
        <w:rPr>
          <w:szCs w:val="24"/>
        </w:rPr>
        <w:t>s</w:t>
      </w:r>
      <w:r w:rsidRPr="00922244">
        <w:rPr>
          <w:szCs w:val="24"/>
        </w:rPr>
        <w:t>, in the EU and in Russia; and (iii) Armenia’s relative isolation from oil price shocks</w:t>
      </w:r>
      <w:r w:rsidR="00FA78E1">
        <w:rPr>
          <w:szCs w:val="24"/>
        </w:rPr>
        <w:t xml:space="preserve">. </w:t>
      </w:r>
      <w:r w:rsidRPr="00922244">
        <w:rPr>
          <w:szCs w:val="24"/>
        </w:rPr>
        <w:t xml:space="preserve"> </w:t>
      </w:r>
    </w:p>
    <w:p w:rsidR="00D633A4" w:rsidRPr="00922244" w:rsidRDefault="00D633A4" w:rsidP="00D633A4">
      <w:pPr>
        <w:tabs>
          <w:tab w:val="left" w:pos="0"/>
        </w:tabs>
        <w:autoSpaceDE w:val="0"/>
        <w:autoSpaceDN w:val="0"/>
        <w:adjustRightInd w:val="0"/>
        <w:rPr>
          <w:szCs w:val="24"/>
        </w:rPr>
      </w:pPr>
      <w:r w:rsidRPr="00922244">
        <w:rPr>
          <w:szCs w:val="24"/>
        </w:rPr>
        <w:t xml:space="preserve"> </w:t>
      </w:r>
    </w:p>
    <w:p w:rsidR="00D633A4" w:rsidRPr="00922244" w:rsidRDefault="00D633A4" w:rsidP="00D633A4">
      <w:pPr>
        <w:tabs>
          <w:tab w:val="left" w:pos="0"/>
        </w:tabs>
        <w:autoSpaceDE w:val="0"/>
        <w:autoSpaceDN w:val="0"/>
        <w:adjustRightInd w:val="0"/>
        <w:rPr>
          <w:szCs w:val="24"/>
        </w:rPr>
      </w:pPr>
      <w:r w:rsidRPr="00922244">
        <w:rPr>
          <w:szCs w:val="24"/>
        </w:rPr>
        <w:t>To address these identification difficulties, this paper follows Bayoumi and Swiston (2009)</w:t>
      </w:r>
      <w:r w:rsidR="00D06C41">
        <w:rPr>
          <w:szCs w:val="24"/>
        </w:rPr>
        <w:t xml:space="preserve"> </w:t>
      </w:r>
      <w:r w:rsidRPr="00922244">
        <w:rPr>
          <w:szCs w:val="24"/>
        </w:rPr>
        <w:t xml:space="preserve">approach </w:t>
      </w:r>
      <w:r w:rsidR="00D06C41">
        <w:rPr>
          <w:szCs w:val="24"/>
        </w:rPr>
        <w:t xml:space="preserve">of </w:t>
      </w:r>
      <w:r w:rsidR="00D06C41" w:rsidRPr="00922244">
        <w:rPr>
          <w:szCs w:val="24"/>
        </w:rPr>
        <w:t>identify</w:t>
      </w:r>
      <w:r w:rsidR="00D06C41">
        <w:rPr>
          <w:szCs w:val="24"/>
        </w:rPr>
        <w:t xml:space="preserve">ing </w:t>
      </w:r>
      <w:r w:rsidRPr="00922244">
        <w:rPr>
          <w:szCs w:val="24"/>
        </w:rPr>
        <w:t xml:space="preserve">the contribution of different geographical areas to the impact of world shocks on Armenian economic activity. Under this approach the </w:t>
      </w:r>
      <w:r w:rsidRPr="00922244">
        <w:rPr>
          <w:i/>
          <w:szCs w:val="24"/>
        </w:rPr>
        <w:t>baseline</w:t>
      </w:r>
      <w:r w:rsidRPr="00922244">
        <w:rPr>
          <w:szCs w:val="24"/>
        </w:rPr>
        <w:t xml:space="preserve"> SVAR is augmented </w:t>
      </w:r>
      <w:r w:rsidRPr="00922244">
        <w:rPr>
          <w:i/>
          <w:szCs w:val="24"/>
        </w:rPr>
        <w:t xml:space="preserve">one at a time </w:t>
      </w:r>
      <w:r w:rsidRPr="00922244">
        <w:rPr>
          <w:szCs w:val="24"/>
        </w:rPr>
        <w:t xml:space="preserve">with data on the real GDP growth of EU, Russia and US. The potential contribution </w:t>
      </w:r>
      <w:r w:rsidRPr="00922244">
        <w:rPr>
          <w:position w:val="-14"/>
          <w:szCs w:val="24"/>
        </w:rPr>
        <w:object w:dxaOrig="279" w:dyaOrig="380">
          <v:shape id="_x0000_i1042" type="#_x0000_t75" style="width:14.25pt;height:18.8pt" o:ole="">
            <v:imagedata r:id="rId69" o:title=""/>
          </v:shape>
          <o:OLEObject Type="Embed" ProgID="Equation.3" ShapeID="_x0000_i1042" DrawAspect="Content" ObjectID="_1492257021" r:id="rId70"/>
        </w:object>
      </w:r>
      <w:r w:rsidRPr="00922244">
        <w:rPr>
          <w:szCs w:val="24"/>
        </w:rPr>
        <w:t xml:space="preserve">of the real GDP growth of a particular geographical area </w:t>
      </w:r>
      <w:r w:rsidRPr="00922244">
        <w:rPr>
          <w:i/>
          <w:szCs w:val="24"/>
        </w:rPr>
        <w:t>g</w:t>
      </w:r>
      <w:r w:rsidRPr="00922244">
        <w:rPr>
          <w:szCs w:val="24"/>
        </w:rPr>
        <w:t xml:space="preserve"> is then calculated as:</w:t>
      </w:r>
    </w:p>
    <w:p w:rsidR="00D633A4" w:rsidRPr="00922244" w:rsidRDefault="00D633A4" w:rsidP="00D633A4">
      <w:pPr>
        <w:tabs>
          <w:tab w:val="left" w:pos="0"/>
        </w:tabs>
        <w:autoSpaceDE w:val="0"/>
        <w:autoSpaceDN w:val="0"/>
        <w:adjustRightInd w:val="0"/>
        <w:jc w:val="center"/>
        <w:rPr>
          <w:szCs w:val="24"/>
        </w:rPr>
      </w:pPr>
      <w:r w:rsidRPr="00922244">
        <w:rPr>
          <w:position w:val="-14"/>
          <w:szCs w:val="24"/>
        </w:rPr>
        <w:object w:dxaOrig="1020" w:dyaOrig="380">
          <v:shape id="_x0000_i1043" type="#_x0000_t75" style="width:50.6pt;height:18.8pt" o:ole="">
            <v:imagedata r:id="rId71" o:title=""/>
          </v:shape>
          <o:OLEObject Type="Embed" ProgID="Equation.3" ShapeID="_x0000_i1043" DrawAspect="Content" ObjectID="_1492257022" r:id="rId72"/>
        </w:object>
      </w:r>
      <w:r w:rsidRPr="00922244">
        <w:rPr>
          <w:szCs w:val="24"/>
        </w:rPr>
        <w:t>.</w:t>
      </w:r>
    </w:p>
    <w:p w:rsidR="00D633A4" w:rsidRPr="00922244" w:rsidRDefault="00D633A4" w:rsidP="00D633A4">
      <w:pPr>
        <w:tabs>
          <w:tab w:val="left" w:pos="0"/>
        </w:tabs>
        <w:autoSpaceDE w:val="0"/>
        <w:autoSpaceDN w:val="0"/>
        <w:adjustRightInd w:val="0"/>
        <w:rPr>
          <w:szCs w:val="24"/>
        </w:rPr>
      </w:pPr>
    </w:p>
    <w:p w:rsidR="00D633A4" w:rsidRDefault="00D633A4" w:rsidP="00D633A4">
      <w:pPr>
        <w:tabs>
          <w:tab w:val="left" w:pos="0"/>
        </w:tabs>
        <w:autoSpaceDE w:val="0"/>
        <w:autoSpaceDN w:val="0"/>
        <w:adjustRightInd w:val="0"/>
        <w:rPr>
          <w:szCs w:val="24"/>
        </w:rPr>
      </w:pPr>
      <w:r w:rsidRPr="00922244">
        <w:rPr>
          <w:szCs w:val="24"/>
        </w:rPr>
        <w:t xml:space="preserve">where </w:t>
      </w:r>
      <w:r>
        <w:rPr>
          <w:szCs w:val="24"/>
        </w:rPr>
        <w:t xml:space="preserve"> </w:t>
      </w:r>
      <w:r w:rsidRPr="00922244">
        <w:rPr>
          <w:i/>
          <w:szCs w:val="24"/>
        </w:rPr>
        <w:t>g</w:t>
      </w:r>
      <w:r w:rsidRPr="00922244">
        <w:rPr>
          <w:szCs w:val="24"/>
        </w:rPr>
        <w:t xml:space="preserve"> = Russia, </w:t>
      </w:r>
      <w:r w:rsidR="00D06C41">
        <w:rPr>
          <w:szCs w:val="24"/>
        </w:rPr>
        <w:t xml:space="preserve">the </w:t>
      </w:r>
      <w:r w:rsidRPr="00922244">
        <w:rPr>
          <w:szCs w:val="24"/>
        </w:rPr>
        <w:t xml:space="preserve">EU, and </w:t>
      </w:r>
      <w:r w:rsidR="00D06C41">
        <w:rPr>
          <w:szCs w:val="24"/>
        </w:rPr>
        <w:t xml:space="preserve">the </w:t>
      </w:r>
      <w:r w:rsidRPr="00922244">
        <w:rPr>
          <w:szCs w:val="24"/>
        </w:rPr>
        <w:t xml:space="preserve">US. The contribution of each geographical area is estimated as the difference between </w:t>
      </w:r>
      <w:r w:rsidRPr="00922244">
        <w:rPr>
          <w:i/>
          <w:szCs w:val="24"/>
        </w:rPr>
        <w:t xml:space="preserve">r, </w:t>
      </w:r>
      <w:r w:rsidRPr="00922244">
        <w:rPr>
          <w:szCs w:val="24"/>
        </w:rPr>
        <w:t xml:space="preserve">which is the </w:t>
      </w:r>
      <w:r w:rsidR="000B27E1">
        <w:rPr>
          <w:szCs w:val="24"/>
        </w:rPr>
        <w:t xml:space="preserve">impulse </w:t>
      </w:r>
      <w:r w:rsidRPr="00922244">
        <w:rPr>
          <w:szCs w:val="24"/>
        </w:rPr>
        <w:t>response of Armenia</w:t>
      </w:r>
      <w:r w:rsidR="00D06C41">
        <w:rPr>
          <w:szCs w:val="24"/>
        </w:rPr>
        <w:t>n</w:t>
      </w:r>
      <w:r w:rsidRPr="00922244">
        <w:rPr>
          <w:szCs w:val="24"/>
        </w:rPr>
        <w:t xml:space="preserve"> non-agriculture GDP growth to a</w:t>
      </w:r>
      <w:r w:rsidR="003D5560">
        <w:rPr>
          <w:szCs w:val="24"/>
        </w:rPr>
        <w:t xml:space="preserve"> change</w:t>
      </w:r>
      <w:r w:rsidRPr="00922244">
        <w:rPr>
          <w:szCs w:val="24"/>
        </w:rPr>
        <w:t xml:space="preserve"> in world economic activity under the </w:t>
      </w:r>
      <w:r w:rsidRPr="00922244">
        <w:rPr>
          <w:i/>
          <w:szCs w:val="24"/>
        </w:rPr>
        <w:t>baseline</w:t>
      </w:r>
      <w:r w:rsidRPr="00922244">
        <w:rPr>
          <w:szCs w:val="24"/>
        </w:rPr>
        <w:t xml:space="preserve"> SVAR, and </w:t>
      </w:r>
      <w:r w:rsidR="000B27E1" w:rsidRPr="00922244">
        <w:rPr>
          <w:i/>
          <w:szCs w:val="24"/>
        </w:rPr>
        <w:t>r</w:t>
      </w:r>
      <w:r w:rsidR="000B27E1">
        <w:rPr>
          <w:i/>
          <w:szCs w:val="24"/>
          <w:vertAlign w:val="subscript"/>
        </w:rPr>
        <w:t>g</w:t>
      </w:r>
      <w:r w:rsidR="000B27E1" w:rsidRPr="00922244">
        <w:rPr>
          <w:szCs w:val="24"/>
        </w:rPr>
        <w:t xml:space="preserve"> </w:t>
      </w:r>
      <w:r w:rsidR="000B27E1">
        <w:rPr>
          <w:szCs w:val="24"/>
        </w:rPr>
        <w:t>, which is th</w:t>
      </w:r>
      <w:r w:rsidRPr="00922244">
        <w:rPr>
          <w:szCs w:val="24"/>
        </w:rPr>
        <w:t xml:space="preserve">e </w:t>
      </w:r>
      <w:r w:rsidR="000B27E1">
        <w:rPr>
          <w:szCs w:val="24"/>
        </w:rPr>
        <w:t xml:space="preserve">impulse </w:t>
      </w:r>
      <w:r w:rsidRPr="00922244">
        <w:rPr>
          <w:szCs w:val="24"/>
        </w:rPr>
        <w:t>response of Armenia</w:t>
      </w:r>
      <w:r w:rsidR="00D06C41">
        <w:rPr>
          <w:szCs w:val="24"/>
        </w:rPr>
        <w:t>n</w:t>
      </w:r>
      <w:r w:rsidRPr="00922244">
        <w:rPr>
          <w:szCs w:val="24"/>
        </w:rPr>
        <w:t xml:space="preserve"> non-agriculture GDP growth to world GDP growth under the </w:t>
      </w:r>
      <w:r w:rsidRPr="00922244">
        <w:rPr>
          <w:i/>
          <w:szCs w:val="24"/>
        </w:rPr>
        <w:t xml:space="preserve">augmented </w:t>
      </w:r>
      <w:r w:rsidRPr="00922244">
        <w:rPr>
          <w:szCs w:val="24"/>
        </w:rPr>
        <w:t>SVAR</w:t>
      </w:r>
      <w:r w:rsidRPr="00922244">
        <w:rPr>
          <w:i/>
          <w:szCs w:val="24"/>
        </w:rPr>
        <w:t xml:space="preserve"> </w:t>
      </w:r>
      <w:r w:rsidRPr="00922244">
        <w:rPr>
          <w:szCs w:val="24"/>
        </w:rPr>
        <w:t xml:space="preserve">that includes as an exogenous variable the real GDP growth of the geographical </w:t>
      </w:r>
      <w:r w:rsidRPr="0006220E">
        <w:rPr>
          <w:szCs w:val="24"/>
        </w:rPr>
        <w:t xml:space="preserve">area </w:t>
      </w:r>
      <w:r w:rsidRPr="0006220E">
        <w:rPr>
          <w:i/>
          <w:szCs w:val="24"/>
        </w:rPr>
        <w:t xml:space="preserve">g. </w:t>
      </w:r>
      <w:r w:rsidRPr="0006220E">
        <w:rPr>
          <w:szCs w:val="24"/>
        </w:rPr>
        <w:t xml:space="preserve">The idea is that adding the exogenous variable to the SVAR leaves in </w:t>
      </w:r>
      <w:r w:rsidRPr="0006220E">
        <w:rPr>
          <w:position w:val="-14"/>
          <w:szCs w:val="24"/>
        </w:rPr>
        <w:object w:dxaOrig="240" w:dyaOrig="380">
          <v:shape id="_x0000_i1044" type="#_x0000_t75" style="width:13.6pt;height:18.8pt" o:ole="">
            <v:imagedata r:id="rId73" o:title=""/>
          </v:shape>
          <o:OLEObject Type="Embed" ProgID="Equation.3" ShapeID="_x0000_i1044" DrawAspect="Content" ObjectID="_1492257023" r:id="rId74"/>
        </w:object>
      </w:r>
      <w:r w:rsidRPr="0006220E">
        <w:rPr>
          <w:szCs w:val="24"/>
        </w:rPr>
        <w:t xml:space="preserve"> the part of the response that is not associated with the growth of the geographical area </w:t>
      </w:r>
      <w:r w:rsidRPr="0006220E">
        <w:rPr>
          <w:i/>
          <w:szCs w:val="24"/>
        </w:rPr>
        <w:t>g</w:t>
      </w:r>
      <w:r w:rsidRPr="0006220E">
        <w:rPr>
          <w:position w:val="-6"/>
          <w:szCs w:val="24"/>
        </w:rPr>
        <w:t xml:space="preserve"> (Figure </w:t>
      </w:r>
      <w:r>
        <w:rPr>
          <w:position w:val="-6"/>
          <w:szCs w:val="24"/>
        </w:rPr>
        <w:t>1</w:t>
      </w:r>
      <w:r w:rsidR="00A17C40">
        <w:rPr>
          <w:position w:val="-6"/>
          <w:szCs w:val="24"/>
        </w:rPr>
        <w:t>3</w:t>
      </w:r>
      <w:r w:rsidRPr="0006220E">
        <w:rPr>
          <w:position w:val="-6"/>
          <w:szCs w:val="24"/>
        </w:rPr>
        <w:t>)</w:t>
      </w:r>
      <w:r w:rsidRPr="0006220E">
        <w:rPr>
          <w:szCs w:val="24"/>
        </w:rPr>
        <w:t>.</w:t>
      </w:r>
    </w:p>
    <w:p w:rsidR="00D633A4" w:rsidRDefault="00BC129A" w:rsidP="00D633A4">
      <w:pPr>
        <w:tabs>
          <w:tab w:val="left" w:pos="0"/>
        </w:tabs>
        <w:autoSpaceDE w:val="0"/>
        <w:autoSpaceDN w:val="0"/>
        <w:adjustRightInd w:val="0"/>
        <w:jc w:val="center"/>
        <w:rPr>
          <w:b/>
          <w:sz w:val="20"/>
        </w:rPr>
      </w:pPr>
      <w:r>
        <w:rPr>
          <w:b/>
          <w:noProof/>
          <w:sz w:val="20"/>
        </w:rPr>
        <mc:AlternateContent>
          <mc:Choice Requires="wps">
            <w:drawing>
              <wp:anchor distT="0" distB="0" distL="114300" distR="114300" simplePos="0" relativeHeight="251685888" behindDoc="0" locked="0" layoutInCell="1" allowOverlap="1">
                <wp:simplePos x="0" y="0"/>
                <wp:positionH relativeFrom="column">
                  <wp:posOffset>2877820</wp:posOffset>
                </wp:positionH>
                <wp:positionV relativeFrom="paragraph">
                  <wp:posOffset>219075</wp:posOffset>
                </wp:positionV>
                <wp:extent cx="221615" cy="173990"/>
                <wp:effectExtent l="0" t="0" r="26670" b="17145"/>
                <wp:wrapNone/>
                <wp:docPr id="2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73990"/>
                        </a:xfrm>
                        <a:prstGeom prst="rect">
                          <a:avLst/>
                        </a:prstGeom>
                        <a:solidFill>
                          <a:srgbClr val="FFFFFF">
                            <a:alpha val="0"/>
                          </a:srgbClr>
                        </a:solidFill>
                        <a:ln w="9525">
                          <a:solidFill>
                            <a:srgbClr val="FFFFFF"/>
                          </a:solidFill>
                          <a:miter lim="800000"/>
                          <a:headEnd/>
                          <a:tailEnd/>
                        </a:ln>
                      </wps:spPr>
                      <wps:txbx>
                        <w:txbxContent>
                          <w:p w:rsidR="001D338C" w:rsidRPr="00010D88" w:rsidRDefault="001D338C" w:rsidP="00D633A4">
                            <w:pPr>
                              <w:rPr>
                                <w:sz w:val="10"/>
                                <w:szCs w:val="1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 o:spid="_x0000_s1031" style="position:absolute;left:0;text-align:left;margin-left:226.6pt;margin-top:17.25pt;width:17.45pt;height:13.7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" strokecolor="white">
                <v:fill opacity="0"/>
                <v:textbox style="mso-fit-shape-to-text:t">
                  <w:txbxContent>
                    <w:p w:rsidR="001D338C" w:rsidRPr="00010D88" w:rsidRDefault="001D338C" w:rsidP="00D633A4">
                      <w:pPr>
                        <w:rPr>
                          <w:sz w:val="10"/>
                          <w:szCs w:val="10"/>
                        </w:rPr>
                      </w:pPr>
                    </w:p>
                  </w:txbxContent>
                </v:textbox>
              </v:rect>
            </w:pict>
          </mc:Fallback>
        </mc:AlternateContent>
      </w:r>
      <w:r w:rsidR="00D633A4" w:rsidRPr="0006220E">
        <w:rPr>
          <w:b/>
          <w:sz w:val="20"/>
        </w:rPr>
        <w:t>Figure 1</w:t>
      </w:r>
      <w:r w:rsidR="00A17C40">
        <w:rPr>
          <w:b/>
          <w:sz w:val="20"/>
        </w:rPr>
        <w:t>3</w:t>
      </w:r>
      <w:r w:rsidR="00D633A4" w:rsidRPr="0006220E">
        <w:rPr>
          <w:b/>
          <w:sz w:val="20"/>
        </w:rPr>
        <w:t xml:space="preserve">: Bayoumi and Swiston </w:t>
      </w:r>
      <w:r w:rsidR="00A17C40">
        <w:rPr>
          <w:b/>
          <w:sz w:val="20"/>
        </w:rPr>
        <w:t>A</w:t>
      </w:r>
      <w:r w:rsidR="00D633A4" w:rsidRPr="0006220E">
        <w:rPr>
          <w:b/>
          <w:sz w:val="20"/>
        </w:rPr>
        <w:t>pproach</w:t>
      </w:r>
    </w:p>
    <w:p w:rsidR="0043167B" w:rsidRPr="0006220E" w:rsidRDefault="00BC129A" w:rsidP="0043167B">
      <w:pPr>
        <w:tabs>
          <w:tab w:val="left" w:pos="0"/>
        </w:tabs>
        <w:autoSpaceDE w:val="0"/>
        <w:autoSpaceDN w:val="0"/>
        <w:adjustRightInd w:val="0"/>
        <w:jc w:val="center"/>
        <w:rPr>
          <w:b/>
          <w:sz w:val="20"/>
        </w:rPr>
      </w:pPr>
      <w:r>
        <w:rPr>
          <w:b/>
          <w:noProof/>
          <w:sz w:val="20"/>
        </w:rPr>
        <mc:AlternateContent>
          <mc:Choice Requires="wps">
            <w:drawing>
              <wp:anchor distT="0" distB="0" distL="114300" distR="114300" simplePos="0" relativeHeight="251701248" behindDoc="0" locked="0" layoutInCell="1" allowOverlap="1">
                <wp:simplePos x="0" y="0"/>
                <wp:positionH relativeFrom="column">
                  <wp:posOffset>3086100</wp:posOffset>
                </wp:positionH>
                <wp:positionV relativeFrom="paragraph">
                  <wp:posOffset>74295</wp:posOffset>
                </wp:positionV>
                <wp:extent cx="382270" cy="265430"/>
                <wp:effectExtent l="0" t="0" r="18415" b="20955"/>
                <wp:wrapNone/>
                <wp:docPr id="2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65430"/>
                        </a:xfrm>
                        <a:prstGeom prst="rect">
                          <a:avLst/>
                        </a:prstGeom>
                        <a:solidFill>
                          <a:srgbClr val="FFFFFF">
                            <a:alpha val="0"/>
                          </a:srgbClr>
                        </a:solidFill>
                        <a:ln w="9525">
                          <a:solidFill>
                            <a:srgbClr val="FFFFFF"/>
                          </a:solidFill>
                          <a:miter lim="800000"/>
                          <a:headEnd/>
                          <a:tailEnd/>
                        </a:ln>
                      </wps:spPr>
                      <wps:txbx>
                        <w:txbxContent>
                          <w:p w:rsidR="001D338C" w:rsidRPr="00010D88" w:rsidRDefault="001D338C" w:rsidP="0043167B">
                            <w:pPr>
                              <w:rPr>
                                <w:sz w:val="10"/>
                                <w:szCs w:val="10"/>
                              </w:rPr>
                            </w:pPr>
                            <w:r w:rsidRPr="00F15C8B">
                              <w:rPr>
                                <w:position w:val="-4"/>
                                <w:sz w:val="10"/>
                                <w:szCs w:val="10"/>
                              </w:rPr>
                              <w:object w:dxaOrig="180" w:dyaOrig="200">
                                <v:shape id="_x0000_i1052" type="#_x0000_t75" style="width:14.9pt;height:12.95pt" o:ole="">
                                  <v:imagedata r:id="rId75" o:title=""/>
                                </v:shape>
                                <o:OLEObject Type="Embed" ProgID="Equation.3" ShapeID="_x0000_i1052" DrawAspect="Content" ObjectID="_1492257031" r:id="rId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43pt;margin-top:5.85pt;width:30.1pt;height:20.9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" strokecolor="white">
                <v:fill opacity="0"/>
                <v:textbox style="mso-fit-shape-to-text:t">
                  <w:txbxContent>
                    <w:p w:rsidR="001D338C" w:rsidRPr="00010D88" w:rsidRDefault="001D338C" w:rsidP="0043167B">
                      <w:pPr>
                        <w:rPr>
                          <w:sz w:val="10"/>
                          <w:szCs w:val="10"/>
                        </w:rPr>
                      </w:pPr>
                      <w:r w:rsidRPr="00F15C8B">
                        <w:rPr>
                          <w:position w:val="-4"/>
                          <w:sz w:val="10"/>
                          <w:szCs w:val="10"/>
                        </w:rPr>
                        <w:object w:dxaOrig="180" w:dyaOrig="200">
                          <v:shape id="_x0000_i1052" type="#_x0000_t75" style="width:14.9pt;height:12.95pt" o:ole="">
                            <v:imagedata r:id="rId75" o:title=""/>
                          </v:shape>
                          <o:OLEObject Type="Embed" ProgID="Equation.3" ShapeID="_x0000_i1052" DrawAspect="Content" ObjectID="_1492257031" r:id="rId77"/>
                        </w:object>
                      </w:r>
                    </w:p>
                  </w:txbxContent>
                </v:textbox>
              </v:rect>
            </w:pict>
          </mc:Fallback>
        </mc:AlternateContent>
      </w:r>
    </w:p>
    <w:p w:rsidR="0043167B" w:rsidRPr="00922244" w:rsidRDefault="00BC129A" w:rsidP="0043167B">
      <w:pPr>
        <w:tabs>
          <w:tab w:val="left" w:pos="0"/>
        </w:tabs>
        <w:autoSpaceDE w:val="0"/>
        <w:autoSpaceDN w:val="0"/>
        <w:adjustRightInd w:val="0"/>
        <w:spacing w:line="480" w:lineRule="auto"/>
        <w:jc w:val="both"/>
        <w:rPr>
          <w:szCs w:val="24"/>
        </w:rPr>
      </w:pPr>
      <w:r>
        <w:rPr>
          <w:noProof/>
          <w:szCs w:val="24"/>
        </w:rPr>
        <mc:AlternateContent>
          <mc:Choice Requires="wps">
            <w:drawing>
              <wp:anchor distT="0" distB="0" distL="114300" distR="114300" simplePos="0" relativeHeight="251700224" behindDoc="0" locked="0" layoutInCell="1" allowOverlap="1">
                <wp:simplePos x="0" y="0"/>
                <wp:positionH relativeFrom="column">
                  <wp:posOffset>3469005</wp:posOffset>
                </wp:positionH>
                <wp:positionV relativeFrom="paragraph">
                  <wp:posOffset>208915</wp:posOffset>
                </wp:positionV>
                <wp:extent cx="489585" cy="397510"/>
                <wp:effectExtent l="0" t="0" r="25400" b="22225"/>
                <wp:wrapNone/>
                <wp:docPr id="4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97510"/>
                        </a:xfrm>
                        <a:prstGeom prst="rect">
                          <a:avLst/>
                        </a:prstGeom>
                        <a:solidFill>
                          <a:srgbClr val="FFFFFF">
                            <a:alpha val="0"/>
                          </a:srgbClr>
                        </a:solidFill>
                        <a:ln w="9525">
                          <a:solidFill>
                            <a:srgbClr val="FFFFFF"/>
                          </a:solidFill>
                          <a:miter lim="800000"/>
                          <a:headEnd/>
                          <a:tailEnd/>
                        </a:ln>
                      </wps:spPr>
                      <wps:txbx>
                        <w:txbxContent>
                          <w:p w:rsidR="001D338C" w:rsidRPr="00010D88" w:rsidRDefault="001D338C" w:rsidP="0043167B">
                            <w:pPr>
                              <w:rPr>
                                <w:sz w:val="10"/>
                                <w:szCs w:val="10"/>
                              </w:rPr>
                            </w:pPr>
                            <w:r w:rsidRPr="00104CA6">
                              <w:rPr>
                                <w:position w:val="-14"/>
                                <w:sz w:val="10"/>
                                <w:szCs w:val="10"/>
                              </w:rPr>
                              <w:object w:dxaOrig="240" w:dyaOrig="380">
                                <v:shape id="_x0000_i1053" type="#_x0000_t75" style="width:23.35pt;height:23.35pt" o:ole="">
                                  <v:imagedata r:id="rId78" o:title=""/>
                                </v:shape>
                                <o:OLEObject Type="Embed" ProgID="Equation.3" ShapeID="_x0000_i1053" DrawAspect="Content" ObjectID="_1492257032" r:id="rId7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 o:spid="_x0000_s1033" style="position:absolute;left:0;text-align:left;margin-left:273.15pt;margin-top:16.45pt;width:38.55pt;height:31.3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" strokecolor="white">
                <v:fill opacity="0"/>
                <v:textbox style="mso-fit-shape-to-text:t">
                  <w:txbxContent>
                    <w:p w:rsidR="001D338C" w:rsidRPr="00010D88" w:rsidRDefault="001D338C" w:rsidP="0043167B">
                      <w:pPr>
                        <w:rPr>
                          <w:sz w:val="10"/>
                          <w:szCs w:val="10"/>
                        </w:rPr>
                      </w:pPr>
                      <w:r w:rsidRPr="00104CA6">
                        <w:rPr>
                          <w:position w:val="-14"/>
                          <w:sz w:val="10"/>
                          <w:szCs w:val="10"/>
                        </w:rPr>
                        <w:object w:dxaOrig="240" w:dyaOrig="380">
                          <v:shape id="_x0000_i1053" type="#_x0000_t75" style="width:23.35pt;height:23.35pt" o:ole="">
                            <v:imagedata r:id="rId78" o:title=""/>
                          </v:shape>
                          <o:OLEObject Type="Embed" ProgID="Equation.3" ShapeID="_x0000_i1053" DrawAspect="Content" ObjectID="_1492257032" r:id="rId80"/>
                        </w:object>
                      </w:r>
                    </w:p>
                  </w:txbxContent>
                </v:textbox>
              </v:rect>
            </w:pict>
          </mc:Fallback>
        </mc:AlternateContent>
      </w:r>
      <w:r>
        <w:rPr>
          <w:noProof/>
          <w:szCs w:val="24"/>
        </w:rPr>
        <mc:AlternateContent>
          <mc:Choice Requires="wpg">
            <w:drawing>
              <wp:anchor distT="0" distB="0" distL="114300" distR="114300" simplePos="0" relativeHeight="251702272" behindDoc="0" locked="0" layoutInCell="1" allowOverlap="1">
                <wp:simplePos x="0" y="0"/>
                <wp:positionH relativeFrom="column">
                  <wp:posOffset>1721485</wp:posOffset>
                </wp:positionH>
                <wp:positionV relativeFrom="paragraph">
                  <wp:posOffset>85090</wp:posOffset>
                </wp:positionV>
                <wp:extent cx="2750185" cy="1082040"/>
                <wp:effectExtent l="54610" t="27940" r="14605" b="61595"/>
                <wp:wrapNone/>
                <wp:docPr id="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082040"/>
                          <a:chOff x="1590" y="11971"/>
                          <a:chExt cx="2848" cy="1773"/>
                        </a:xfrm>
                      </wpg:grpSpPr>
                      <wps:wsp>
                        <wps:cNvPr id="8" name="AutoShape 64"/>
                        <wps:cNvCnPr>
                          <a:cxnSpLocks noChangeShapeType="1"/>
                        </wps:cNvCnPr>
                        <wps:spPr bwMode="auto">
                          <a:xfrm flipV="1">
                            <a:off x="1590" y="11971"/>
                            <a:ext cx="0" cy="17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65"/>
                        <wps:cNvCnPr>
                          <a:cxnSpLocks noChangeShapeType="1"/>
                        </wps:cNvCnPr>
                        <wps:spPr bwMode="auto">
                          <a:xfrm>
                            <a:off x="1590" y="13744"/>
                            <a:ext cx="28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rc 66"/>
                        <wps:cNvSpPr>
                          <a:spLocks/>
                        </wps:cNvSpPr>
                        <wps:spPr bwMode="auto">
                          <a:xfrm rot="11148001" flipV="1">
                            <a:off x="1906" y="11976"/>
                            <a:ext cx="2090" cy="1505"/>
                          </a:xfrm>
                          <a:custGeom>
                            <a:avLst/>
                            <a:gdLst>
                              <a:gd name="T0" fmla="*/ 0 w 21600"/>
                              <a:gd name="T1" fmla="*/ 2 h 21600"/>
                              <a:gd name="T2" fmla="*/ 2090 w 21600"/>
                              <a:gd name="T3" fmla="*/ 1505 h 21600"/>
                              <a:gd name="T4" fmla="*/ 102 w 21600"/>
                              <a:gd name="T5" fmla="*/ 15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8"/>
                                </a:moveTo>
                                <a:cubicBezTo>
                                  <a:pt x="368" y="9"/>
                                  <a:pt x="737" y="-1"/>
                                  <a:pt x="1106" y="0"/>
                                </a:cubicBezTo>
                                <a:cubicBezTo>
                                  <a:pt x="13035" y="0"/>
                                  <a:pt x="22706" y="9670"/>
                                  <a:pt x="22706" y="21600"/>
                                </a:cubicBezTo>
                              </a:path>
                              <a:path w="21600" h="21600" stroke="0" extrusionOk="0">
                                <a:moveTo>
                                  <a:pt x="0" y="28"/>
                                </a:moveTo>
                                <a:cubicBezTo>
                                  <a:pt x="368" y="9"/>
                                  <a:pt x="737" y="-1"/>
                                  <a:pt x="1106" y="0"/>
                                </a:cubicBezTo>
                                <a:cubicBezTo>
                                  <a:pt x="13035" y="0"/>
                                  <a:pt x="22706" y="9670"/>
                                  <a:pt x="22706" y="21600"/>
                                </a:cubicBezTo>
                                <a:lnTo>
                                  <a:pt x="1106" y="21600"/>
                                </a:lnTo>
                                <a:lnTo>
                                  <a:pt x="0" y="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67"/>
                        <wps:cNvSpPr>
                          <a:spLocks/>
                        </wps:cNvSpPr>
                        <wps:spPr bwMode="auto">
                          <a:xfrm rot="11496002" flipV="1">
                            <a:off x="1960" y="12159"/>
                            <a:ext cx="1988" cy="1386"/>
                          </a:xfrm>
                          <a:custGeom>
                            <a:avLst/>
                            <a:gdLst>
                              <a:gd name="T0" fmla="*/ 30 w 21600"/>
                              <a:gd name="T1" fmla="*/ 0 h 21600"/>
                              <a:gd name="T2" fmla="*/ 1988 w 21600"/>
                              <a:gd name="T3" fmla="*/ 1386 h 21600"/>
                              <a:gd name="T4" fmla="*/ 0 w 21600"/>
                              <a:gd name="T5" fmla="*/ 13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21" y="0"/>
                                </a:moveTo>
                                <a:cubicBezTo>
                                  <a:pt x="12124" y="176"/>
                                  <a:pt x="21600" y="9794"/>
                                  <a:pt x="21600" y="21598"/>
                                </a:cubicBezTo>
                              </a:path>
                              <a:path w="21600" h="21600" stroke="0" extrusionOk="0">
                                <a:moveTo>
                                  <a:pt x="321" y="0"/>
                                </a:moveTo>
                                <a:cubicBezTo>
                                  <a:pt x="12124" y="176"/>
                                  <a:pt x="21600" y="9794"/>
                                  <a:pt x="21600" y="21598"/>
                                </a:cubicBezTo>
                                <a:lnTo>
                                  <a:pt x="0" y="21598"/>
                                </a:lnTo>
                                <a:lnTo>
                                  <a:pt x="32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71"/>
                        <wps:cNvCnPr>
                          <a:cxnSpLocks noChangeShapeType="1"/>
                        </wps:cNvCnPr>
                        <wps:spPr bwMode="auto">
                          <a:xfrm flipV="1">
                            <a:off x="2794" y="12159"/>
                            <a:ext cx="742" cy="951"/>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35.55pt;margin-top:6.7pt;width:216.55pt;height:85.2pt;z-index:251702272" coordorigin="1590,11971" coordsize="2848,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">
                <v:shapetype id="_x0000_t32" coordsize="21600,21600" o:spt="32" o:oned="t" path="m,l21600,21600e" filled="f">
                  <v:path arrowok="t" fillok="f" o:connecttype="none"/>
                  <o:lock v:ext="edit" shapetype="t"/>
                </v:shapetype>
                <v:shape id="AutoShape 64" o:spid="_x0000_s1027" type="#_x0000_t32" style="position:absolute;left:1590;top:11971;width:0;height:1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AutoShape 65" o:spid="_x0000_s1028" type="#_x0000_t32" style="position:absolute;left:1590;top:13744;width:28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rc 66" o:spid="_x0000_s1029" style="position:absolute;left:1906;top:11976;width:2090;height:1505;rotation:1141637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Fj78A&#10;AADbAAAADwAAAGRycy9kb3ducmV2LnhtbERPS4vCMBC+C/6HMII3TRWRtWsUHwh7XVcRb0MzpmWb&#10;SUmirf9+syB4m4/vOct1Z2vxIB8qxwom4wwEceF0xUbB6ecw+gARIrLG2jEpeFKA9arfW2KuXcvf&#10;9DhGI1IIhxwVlDE2uZShKMliGLuGOHE35y3GBL2R2mObwm0tp1k2lxYrTg0lNrQrqfg93q2C26K9&#10;PM11c7bRGln5+XYy3W+VGg66zSeISF18i1/uL53mz+D/l3S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hsWPvwAAANsAAAAPAAAAAAAAAAAAAAAAAJgCAABkcnMvZG93bnJl&#10;di54bWxQSwUGAAAAAAQABAD1AAAAhAMAAAAA&#10;" path="m,28nfc368,9,737,-1,1106,,13035,,22706,9670,22706,21600em,28nsc368,9,737,-1,1106,,13035,,22706,9670,22706,21600r-21600,l,28xe" filled="f">
                  <v:path arrowok="t" o:extrusionok="f" o:connecttype="custom" o:connectlocs="0,0;202,105;10,105" o:connectangles="0,0,0"/>
                </v:shape>
                <v:shape id="Arc 67" o:spid="_x0000_s1030" style="position:absolute;left:1960;top:12159;width:1988;height:1386;rotation:1103626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EdsIA&#10;AADbAAAADwAAAGRycy9kb3ducmV2LnhtbERPTWsCMRC9F/wPYYReimbroV1Wo4hSENpDq6LXYTPu&#10;Lm4mSxLX6K9vCgVv83ifM1tE04qenG8sK3gdZyCIS6sbrhTsdx+jHIQPyBpby6TgRh4W88HTDAtt&#10;r/xD/TZUIoWwL1BBHUJXSOnLmgz6se2IE3eyzmBI0FVSO7ymcNPKSZa9SYMNp4YaO1rVVJ63F6Pg&#10;pf/aVMdzuK/j/vB5zJ2P7jtX6nkYl1MQgWJ4iP/dG53mv8PfL+k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gR2wgAAANsAAAAPAAAAAAAAAAAAAAAAAJgCAABkcnMvZG93&#10;bnJldi54bWxQSwUGAAAAAAQABAD1AAAAhwMAAAAA&#10;" path="m321,nfc12124,176,21600,9794,21600,21598em321,nsc12124,176,21600,9794,21600,21598l,21598,321,xe" filled="f">
                  <v:path arrowok="t" o:extrusionok="f" o:connecttype="custom" o:connectlocs="3,0;183,89;0,89" o:connectangles="0,0,0"/>
                </v:shape>
                <v:shape id="AutoShape 71" o:spid="_x0000_s1031" type="#_x0000_t32" style="position:absolute;left:2794;top:12159;width:742;height: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05Qb8AAADbAAAADwAAAGRycy9kb3ducmV2LnhtbESPzQrCMBCE74LvEFbwpqkeilajFEHw&#10;JP5dvC3N2tY2m9JErW9vBMHbLjPf7Oxy3ZlaPKl1pWUFk3EEgjizuuRcweW8Hc1AOI+ssbZMCt7k&#10;YL3q95aYaPviIz1PPhchhF2CCgrvm0RKlxVk0I1tQxy0m20N+rC2udQtvkK4qeU0imJpsORwocCG&#10;NgVl1elhQo1obq/p/liZfRzfKc2qbnq4KDUcdOkChKfO/80/eqcDN4fvL2EA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05Qb8AAADbAAAADwAAAAAAAAAAAAAAAACh&#10;AgAAZHJzL2Rvd25yZXYueG1sUEsFBgAAAAAEAAQA+QAAAI0DAAAAAA==&#10;">
                  <v:stroke dashstyle="dash" endarrow="block" endarrowwidth="narrow" endarrowlength="short"/>
                </v:shape>
              </v:group>
            </w:pict>
          </mc:Fallback>
        </mc:AlternateContent>
      </w:r>
    </w:p>
    <w:p w:rsidR="0043167B" w:rsidRDefault="0043167B" w:rsidP="00D633A4">
      <w:pPr>
        <w:tabs>
          <w:tab w:val="left" w:pos="0"/>
        </w:tabs>
        <w:autoSpaceDE w:val="0"/>
        <w:autoSpaceDN w:val="0"/>
        <w:adjustRightInd w:val="0"/>
        <w:jc w:val="center"/>
        <w:rPr>
          <w:b/>
          <w:sz w:val="20"/>
        </w:rPr>
      </w:pPr>
    </w:p>
    <w:p w:rsidR="00F3228E" w:rsidRDefault="00F3228E" w:rsidP="00D633A4">
      <w:pPr>
        <w:tabs>
          <w:tab w:val="left" w:pos="0"/>
        </w:tabs>
        <w:autoSpaceDE w:val="0"/>
        <w:autoSpaceDN w:val="0"/>
        <w:adjustRightInd w:val="0"/>
        <w:rPr>
          <w:szCs w:val="24"/>
        </w:rPr>
      </w:pPr>
    </w:p>
    <w:p w:rsidR="00F3228E" w:rsidRDefault="00BC129A" w:rsidP="00D633A4">
      <w:pPr>
        <w:tabs>
          <w:tab w:val="left" w:pos="0"/>
        </w:tabs>
        <w:autoSpaceDE w:val="0"/>
        <w:autoSpaceDN w:val="0"/>
        <w:adjustRightInd w:val="0"/>
        <w:rPr>
          <w:szCs w:val="24"/>
        </w:rPr>
      </w:pPr>
      <w:r>
        <w:rPr>
          <w:noProof/>
          <w:szCs w:val="24"/>
        </w:rPr>
        <mc:AlternateContent>
          <mc:Choice Requires="wps">
            <w:drawing>
              <wp:anchor distT="0" distB="0" distL="114300" distR="114300" simplePos="0" relativeHeight="251704320" behindDoc="0" locked="0" layoutInCell="1" allowOverlap="1">
                <wp:simplePos x="0" y="0"/>
                <wp:positionH relativeFrom="column">
                  <wp:posOffset>2157730</wp:posOffset>
                </wp:positionH>
                <wp:positionV relativeFrom="paragraph">
                  <wp:posOffset>151765</wp:posOffset>
                </wp:positionV>
                <wp:extent cx="1603375" cy="285115"/>
                <wp:effectExtent l="0" t="0" r="15875" b="19685"/>
                <wp:wrapNone/>
                <wp:docPr id="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285115"/>
                        </a:xfrm>
                        <a:prstGeom prst="rect">
                          <a:avLst/>
                        </a:prstGeom>
                        <a:solidFill>
                          <a:srgbClr val="FFFFFF"/>
                        </a:solidFill>
                        <a:ln w="9525">
                          <a:solidFill>
                            <a:srgbClr val="FFFFFF"/>
                          </a:solidFill>
                          <a:miter lim="800000"/>
                          <a:headEnd/>
                          <a:tailEnd/>
                        </a:ln>
                      </wps:spPr>
                      <wps:txbx>
                        <w:txbxContent>
                          <w:p w:rsidR="001D338C" w:rsidRPr="0006220E" w:rsidRDefault="001D338C" w:rsidP="0043167B">
                            <w:pPr>
                              <w:rPr>
                                <w:i/>
                                <w:sz w:val="16"/>
                                <w:szCs w:val="16"/>
                              </w:rPr>
                            </w:pPr>
                            <w:r w:rsidRPr="0006220E">
                              <w:rPr>
                                <w:i/>
                                <w:sz w:val="16"/>
                                <w:szCs w:val="16"/>
                              </w:rPr>
                              <w:t>Impact of geographical area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4" style="position:absolute;margin-left:169.9pt;margin-top:11.95pt;width:126.25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" strokecolor="white">
                <v:textbox>
                  <w:txbxContent>
                    <w:p w:rsidR="001D338C" w:rsidRPr="0006220E" w:rsidRDefault="001D338C" w:rsidP="0043167B">
                      <w:pPr>
                        <w:rPr>
                          <w:i/>
                          <w:sz w:val="16"/>
                          <w:szCs w:val="16"/>
                        </w:rPr>
                      </w:pPr>
                      <w:r w:rsidRPr="0006220E">
                        <w:rPr>
                          <w:i/>
                          <w:sz w:val="16"/>
                          <w:szCs w:val="16"/>
                        </w:rPr>
                        <w:t>Impact of geographical area g</w:t>
                      </w:r>
                    </w:p>
                  </w:txbxContent>
                </v:textbox>
              </v:rect>
            </w:pict>
          </mc:Fallback>
        </mc:AlternateContent>
      </w:r>
    </w:p>
    <w:p w:rsidR="0043167B" w:rsidRDefault="0043167B" w:rsidP="00D633A4">
      <w:pPr>
        <w:tabs>
          <w:tab w:val="left" w:pos="0"/>
        </w:tabs>
        <w:autoSpaceDE w:val="0"/>
        <w:autoSpaceDN w:val="0"/>
        <w:adjustRightInd w:val="0"/>
        <w:rPr>
          <w:szCs w:val="24"/>
        </w:rPr>
      </w:pPr>
    </w:p>
    <w:p w:rsidR="00C04144" w:rsidRDefault="00BC129A" w:rsidP="00D633A4">
      <w:pPr>
        <w:tabs>
          <w:tab w:val="left" w:pos="0"/>
        </w:tabs>
        <w:autoSpaceDE w:val="0"/>
        <w:autoSpaceDN w:val="0"/>
        <w:adjustRightInd w:val="0"/>
        <w:rPr>
          <w:szCs w:val="24"/>
        </w:rPr>
      </w:pPr>
      <w:r>
        <w:rPr>
          <w:rFonts w:ascii="GHEA Grapalat" w:hAnsi="GHEA Grapalat"/>
          <w:noProof/>
          <w:sz w:val="22"/>
          <w:szCs w:val="22"/>
        </w:rPr>
        <mc:AlternateContent>
          <mc:Choice Requires="wps">
            <w:drawing>
              <wp:anchor distT="0" distB="0" distL="114300" distR="114300" simplePos="0" relativeHeight="251706368" behindDoc="0" locked="0" layoutInCell="1" allowOverlap="1">
                <wp:simplePos x="0" y="0"/>
                <wp:positionH relativeFrom="column">
                  <wp:posOffset>1694815</wp:posOffset>
                </wp:positionH>
                <wp:positionV relativeFrom="paragraph">
                  <wp:posOffset>200025</wp:posOffset>
                </wp:positionV>
                <wp:extent cx="2763520" cy="288925"/>
                <wp:effectExtent l="0" t="0" r="0" b="0"/>
                <wp:wrapSquare wrapText="bothSides"/>
                <wp:docPr id="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520" cy="288925"/>
                        </a:xfrm>
                        <a:prstGeom prst="rect">
                          <a:avLst/>
                        </a:prstGeom>
                        <a:solidFill>
                          <a:sysClr val="window" lastClr="FFFFFF"/>
                        </a:solidFill>
                        <a:ln w="25400" cap="flat" cmpd="sng" algn="ctr">
                          <a:noFill/>
                          <a:prstDash val="solid"/>
                        </a:ln>
                        <a:effectLst/>
                      </wps:spPr>
                      <wps:txbx>
                        <w:txbxContent>
                          <w:p w:rsidR="001D338C" w:rsidRPr="0001518F" w:rsidRDefault="001D338C" w:rsidP="00C04144">
                            <w:pPr>
                              <w:pStyle w:val="NormalWeb"/>
                              <w:spacing w:before="0" w:beforeAutospacing="0" w:after="0" w:afterAutospacing="0"/>
                              <w:rPr>
                                <w:sz w:val="18"/>
                                <w:szCs w:val="18"/>
                              </w:rPr>
                            </w:pPr>
                            <w:r w:rsidRPr="006264A5">
                              <w:rPr>
                                <w:color w:val="000000"/>
                                <w:sz w:val="18"/>
                                <w:szCs w:val="18"/>
                              </w:rPr>
                              <w:t xml:space="preserve">Source: </w:t>
                            </w:r>
                            <w:r>
                              <w:rPr>
                                <w:color w:val="000000"/>
                                <w:sz w:val="18"/>
                                <w:szCs w:val="18"/>
                              </w:rPr>
                              <w:t>Bayoumi and Swiston (2009)</w:t>
                            </w:r>
                            <w:r w:rsidRPr="0001518F">
                              <w:rPr>
                                <w:sz w:val="18"/>
                                <w:szCs w:val="18"/>
                              </w:rPr>
                              <w:t>Reinout, Daniel and Joel (2010)</w:t>
                            </w:r>
                            <w:r>
                              <w:rPr>
                                <w:sz w:val="18"/>
                                <w:szCs w:val="1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133.45pt;margin-top:15.75pt;width:217.6pt;height:2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" fillcolor="window" stroked="f" strokeweight="2pt">
                <v:path arrowok="t"/>
                <v:textbox>
                  <w:txbxContent>
                    <w:p w:rsidR="001D338C" w:rsidRPr="0001518F" w:rsidRDefault="001D338C" w:rsidP="00C04144">
                      <w:pPr>
                        <w:pStyle w:val="NormalWeb"/>
                        <w:spacing w:before="0" w:beforeAutospacing="0" w:after="0" w:afterAutospacing="0"/>
                        <w:rPr>
                          <w:sz w:val="18"/>
                          <w:szCs w:val="18"/>
                        </w:rPr>
                      </w:pPr>
                      <w:r w:rsidRPr="006264A5">
                        <w:rPr>
                          <w:color w:val="000000"/>
                          <w:sz w:val="18"/>
                          <w:szCs w:val="18"/>
                        </w:rPr>
                        <w:t xml:space="preserve">Source: </w:t>
                      </w:r>
                      <w:r>
                        <w:rPr>
                          <w:color w:val="000000"/>
                          <w:sz w:val="18"/>
                          <w:szCs w:val="18"/>
                        </w:rPr>
                        <w:t>Bayoumi and Swiston (2009)</w:t>
                      </w:r>
                      <w:r w:rsidRPr="0001518F">
                        <w:rPr>
                          <w:sz w:val="18"/>
                          <w:szCs w:val="18"/>
                        </w:rPr>
                        <w:t>Reinout, Daniel and Joel (2010)</w:t>
                      </w:r>
                      <w:r>
                        <w:rPr>
                          <w:sz w:val="18"/>
                          <w:szCs w:val="18"/>
                        </w:rPr>
                        <w:t>.</w:t>
                      </w:r>
                    </w:p>
                  </w:txbxContent>
                </v:textbox>
                <w10:wrap type="square"/>
              </v:rect>
            </w:pict>
          </mc:Fallback>
        </mc:AlternateContent>
      </w:r>
    </w:p>
    <w:p w:rsidR="00881B54" w:rsidRDefault="00881B54" w:rsidP="00D633A4">
      <w:pPr>
        <w:tabs>
          <w:tab w:val="left" w:pos="0"/>
        </w:tabs>
        <w:autoSpaceDE w:val="0"/>
        <w:autoSpaceDN w:val="0"/>
        <w:adjustRightInd w:val="0"/>
        <w:rPr>
          <w:szCs w:val="24"/>
        </w:rPr>
      </w:pPr>
    </w:p>
    <w:p w:rsidR="00881B54" w:rsidRDefault="00881B54" w:rsidP="00D633A4">
      <w:pPr>
        <w:tabs>
          <w:tab w:val="left" w:pos="0"/>
        </w:tabs>
        <w:autoSpaceDE w:val="0"/>
        <w:autoSpaceDN w:val="0"/>
        <w:adjustRightInd w:val="0"/>
        <w:rPr>
          <w:szCs w:val="24"/>
        </w:rPr>
      </w:pPr>
    </w:p>
    <w:p w:rsidR="00D633A4" w:rsidRPr="00922244" w:rsidRDefault="00D633A4" w:rsidP="00D633A4">
      <w:pPr>
        <w:tabs>
          <w:tab w:val="left" w:pos="0"/>
        </w:tabs>
        <w:autoSpaceDE w:val="0"/>
        <w:autoSpaceDN w:val="0"/>
        <w:adjustRightInd w:val="0"/>
        <w:rPr>
          <w:szCs w:val="24"/>
        </w:rPr>
      </w:pPr>
      <w:r w:rsidRPr="00922244">
        <w:rPr>
          <w:szCs w:val="24"/>
        </w:rPr>
        <w:t xml:space="preserve">This paper also uses the Bayoumi and Swiston </w:t>
      </w:r>
      <w:r w:rsidR="003D5560">
        <w:rPr>
          <w:szCs w:val="24"/>
        </w:rPr>
        <w:t xml:space="preserve">(2009) </w:t>
      </w:r>
      <w:r w:rsidRPr="00922244">
        <w:rPr>
          <w:szCs w:val="24"/>
        </w:rPr>
        <w:t xml:space="preserve">approach to decompose the impact of world shocks on Armenian economic activity into the contribution of different transmission channels, including trade (exports), tourism net revenues, remittances net inflows and net external borrowing. To that end, the </w:t>
      </w:r>
      <w:r w:rsidRPr="00A17C40">
        <w:rPr>
          <w:i/>
          <w:szCs w:val="24"/>
        </w:rPr>
        <w:t>baseline</w:t>
      </w:r>
      <w:r w:rsidRPr="00922244">
        <w:rPr>
          <w:szCs w:val="24"/>
        </w:rPr>
        <w:t xml:space="preserve"> SVAR will also be </w:t>
      </w:r>
      <w:r w:rsidRPr="00A17C40">
        <w:rPr>
          <w:i/>
          <w:szCs w:val="24"/>
        </w:rPr>
        <w:t>augmented</w:t>
      </w:r>
      <w:r w:rsidRPr="00922244">
        <w:rPr>
          <w:szCs w:val="24"/>
        </w:rPr>
        <w:t xml:space="preserve"> </w:t>
      </w:r>
      <w:r w:rsidRPr="00A17C40">
        <w:rPr>
          <w:i/>
          <w:szCs w:val="24"/>
        </w:rPr>
        <w:t>one at a time</w:t>
      </w:r>
      <w:r w:rsidRPr="00922244">
        <w:rPr>
          <w:szCs w:val="24"/>
        </w:rPr>
        <w:t xml:space="preserve"> with data on these transmission channels. As in the case of geographical </w:t>
      </w:r>
      <w:r w:rsidR="00126535" w:rsidRPr="00922244">
        <w:rPr>
          <w:szCs w:val="24"/>
        </w:rPr>
        <w:t>areas,</w:t>
      </w:r>
      <w:r w:rsidRPr="00922244">
        <w:rPr>
          <w:szCs w:val="24"/>
        </w:rPr>
        <w:t xml:space="preserve"> the potential contribution </w:t>
      </w:r>
      <w:r w:rsidRPr="00922244">
        <w:rPr>
          <w:position w:val="-12"/>
        </w:rPr>
        <w:object w:dxaOrig="220" w:dyaOrig="360">
          <v:shape id="_x0000_i1045" type="#_x0000_t75" style="width:11.05pt;height:18.15pt" o:ole="">
            <v:imagedata r:id="rId81" o:title=""/>
          </v:shape>
          <o:OLEObject Type="Embed" ProgID="Equation.3" ShapeID="_x0000_i1045" DrawAspect="Content" ObjectID="_1492257024" r:id="rId82"/>
        </w:object>
      </w:r>
      <w:r w:rsidRPr="00922244">
        <w:rPr>
          <w:szCs w:val="24"/>
        </w:rPr>
        <w:t xml:space="preserve">of the real GDP growth of a particular transmission channel </w:t>
      </w:r>
      <w:r w:rsidRPr="00922244">
        <w:rPr>
          <w:position w:val="-6"/>
        </w:rPr>
        <w:object w:dxaOrig="139" w:dyaOrig="240">
          <v:shape id="_x0000_i1046" type="#_x0000_t75" style="width:6.5pt;height:11.05pt" o:ole="">
            <v:imagedata r:id="rId83" o:title=""/>
          </v:shape>
          <o:OLEObject Type="Embed" ProgID="Equation.3" ShapeID="_x0000_i1046" DrawAspect="Content" ObjectID="_1492257025" r:id="rId84"/>
        </w:object>
      </w:r>
      <w:r w:rsidRPr="00922244">
        <w:t xml:space="preserve"> </w:t>
      </w:r>
      <w:r w:rsidRPr="00922244">
        <w:rPr>
          <w:szCs w:val="24"/>
        </w:rPr>
        <w:t>is then calculated as:</w:t>
      </w:r>
    </w:p>
    <w:p w:rsidR="00D633A4" w:rsidRPr="00922244" w:rsidRDefault="00D633A4" w:rsidP="00D633A4">
      <w:pPr>
        <w:tabs>
          <w:tab w:val="left" w:pos="0"/>
        </w:tabs>
        <w:autoSpaceDE w:val="0"/>
        <w:autoSpaceDN w:val="0"/>
        <w:adjustRightInd w:val="0"/>
        <w:jc w:val="center"/>
        <w:rPr>
          <w:szCs w:val="24"/>
        </w:rPr>
      </w:pPr>
      <w:r w:rsidRPr="00922244">
        <w:rPr>
          <w:position w:val="-12"/>
        </w:rPr>
        <w:object w:dxaOrig="940" w:dyaOrig="360">
          <v:shape id="_x0000_i1047" type="#_x0000_t75" style="width:46.7pt;height:18.15pt" o:ole="">
            <v:imagedata r:id="rId85" o:title=""/>
          </v:shape>
          <o:OLEObject Type="Embed" ProgID="Equation.3" ShapeID="_x0000_i1047" DrawAspect="Content" ObjectID="_1492257026" r:id="rId86"/>
        </w:object>
      </w:r>
      <w:r w:rsidRPr="00922244">
        <w:rPr>
          <w:szCs w:val="24"/>
        </w:rPr>
        <w:t>.</w:t>
      </w:r>
    </w:p>
    <w:p w:rsidR="00D633A4" w:rsidRPr="00922244" w:rsidRDefault="00D633A4" w:rsidP="00D633A4">
      <w:pPr>
        <w:pStyle w:val="ListParagraph"/>
        <w:tabs>
          <w:tab w:val="left" w:pos="0"/>
        </w:tabs>
        <w:autoSpaceDE w:val="0"/>
        <w:autoSpaceDN w:val="0"/>
        <w:adjustRightInd w:val="0"/>
        <w:rPr>
          <w:szCs w:val="24"/>
        </w:rPr>
      </w:pPr>
    </w:p>
    <w:p w:rsidR="00D633A4" w:rsidRDefault="00D633A4" w:rsidP="00D633A4">
      <w:pPr>
        <w:tabs>
          <w:tab w:val="left" w:pos="0"/>
        </w:tabs>
        <w:autoSpaceDE w:val="0"/>
        <w:autoSpaceDN w:val="0"/>
        <w:adjustRightInd w:val="0"/>
        <w:rPr>
          <w:i/>
          <w:szCs w:val="24"/>
        </w:rPr>
      </w:pPr>
      <w:r w:rsidRPr="00922244">
        <w:rPr>
          <w:szCs w:val="24"/>
        </w:rPr>
        <w:t xml:space="preserve">where t = trade, tourism, remittances, and external borrowing. The contribution of each transmission channel is estimated as the difference between </w:t>
      </w:r>
      <w:r w:rsidRPr="00922244">
        <w:rPr>
          <w:i/>
          <w:szCs w:val="24"/>
        </w:rPr>
        <w:t xml:space="preserve">r, </w:t>
      </w:r>
      <w:r w:rsidRPr="00922244">
        <w:rPr>
          <w:szCs w:val="24"/>
        </w:rPr>
        <w:t xml:space="preserve">which is the </w:t>
      </w:r>
      <w:r w:rsidR="00A17C40">
        <w:rPr>
          <w:szCs w:val="24"/>
        </w:rPr>
        <w:t xml:space="preserve">impulse </w:t>
      </w:r>
      <w:r w:rsidRPr="00922244">
        <w:rPr>
          <w:szCs w:val="24"/>
        </w:rPr>
        <w:t xml:space="preserve">response of Armenia non-agriculture GDP growth to </w:t>
      </w:r>
      <w:r w:rsidR="00D06C41">
        <w:rPr>
          <w:szCs w:val="24"/>
        </w:rPr>
        <w:t xml:space="preserve">a change </w:t>
      </w:r>
      <w:r w:rsidRPr="00922244">
        <w:rPr>
          <w:szCs w:val="24"/>
        </w:rPr>
        <w:t xml:space="preserve">in world economic activity under the </w:t>
      </w:r>
      <w:r w:rsidRPr="00922244">
        <w:rPr>
          <w:i/>
          <w:szCs w:val="24"/>
        </w:rPr>
        <w:t>baseline</w:t>
      </w:r>
      <w:r w:rsidRPr="00922244">
        <w:rPr>
          <w:szCs w:val="24"/>
        </w:rPr>
        <w:t xml:space="preserve"> SVAR, and </w:t>
      </w:r>
      <w:r w:rsidR="00A17C40" w:rsidRPr="00922244">
        <w:rPr>
          <w:i/>
          <w:szCs w:val="24"/>
        </w:rPr>
        <w:t>r</w:t>
      </w:r>
      <w:r w:rsidR="00A17C40">
        <w:rPr>
          <w:i/>
          <w:szCs w:val="24"/>
          <w:vertAlign w:val="subscript"/>
        </w:rPr>
        <w:t xml:space="preserve">t, </w:t>
      </w:r>
      <w:r w:rsidR="00A17C40">
        <w:rPr>
          <w:szCs w:val="24"/>
        </w:rPr>
        <w:t xml:space="preserve">which is the impulse </w:t>
      </w:r>
      <w:r w:rsidRPr="00922244">
        <w:rPr>
          <w:szCs w:val="24"/>
        </w:rPr>
        <w:t xml:space="preserve">response of Armenia non-agriculture GDP growth to world GDP growth under the </w:t>
      </w:r>
      <w:r w:rsidRPr="00922244">
        <w:rPr>
          <w:i/>
          <w:szCs w:val="24"/>
        </w:rPr>
        <w:t xml:space="preserve">augmented </w:t>
      </w:r>
      <w:r w:rsidRPr="00922244">
        <w:rPr>
          <w:szCs w:val="24"/>
        </w:rPr>
        <w:t>SVAR</w:t>
      </w:r>
      <w:r w:rsidRPr="00922244">
        <w:rPr>
          <w:i/>
          <w:szCs w:val="24"/>
        </w:rPr>
        <w:t xml:space="preserve"> </w:t>
      </w:r>
      <w:r w:rsidRPr="00922244">
        <w:rPr>
          <w:szCs w:val="24"/>
        </w:rPr>
        <w:t xml:space="preserve">that includes as an exogenous variable </w:t>
      </w:r>
      <w:r w:rsidR="00D06C41">
        <w:rPr>
          <w:szCs w:val="24"/>
        </w:rPr>
        <w:t xml:space="preserve">the </w:t>
      </w:r>
      <w:r w:rsidRPr="00922244">
        <w:rPr>
          <w:szCs w:val="24"/>
        </w:rPr>
        <w:t xml:space="preserve">time series of the transmission channel </w:t>
      </w:r>
      <w:r w:rsidRPr="00922244">
        <w:rPr>
          <w:i/>
          <w:szCs w:val="24"/>
        </w:rPr>
        <w:t xml:space="preserve">t. </w:t>
      </w:r>
    </w:p>
    <w:p w:rsidR="00A17C40" w:rsidRPr="00922244" w:rsidRDefault="00A17C40" w:rsidP="00D633A4">
      <w:pPr>
        <w:tabs>
          <w:tab w:val="left" w:pos="0"/>
        </w:tabs>
        <w:autoSpaceDE w:val="0"/>
        <w:autoSpaceDN w:val="0"/>
        <w:adjustRightInd w:val="0"/>
        <w:rPr>
          <w:i/>
          <w:szCs w:val="24"/>
        </w:rPr>
      </w:pPr>
    </w:p>
    <w:p w:rsidR="00D633A4" w:rsidRDefault="00D06C41" w:rsidP="00D633A4">
      <w:pPr>
        <w:tabs>
          <w:tab w:val="left" w:pos="0"/>
        </w:tabs>
        <w:autoSpaceDE w:val="0"/>
        <w:autoSpaceDN w:val="0"/>
        <w:adjustRightInd w:val="0"/>
        <w:rPr>
          <w:szCs w:val="24"/>
        </w:rPr>
      </w:pPr>
      <w:r>
        <w:rPr>
          <w:szCs w:val="24"/>
        </w:rPr>
        <w:t xml:space="preserve">The </w:t>
      </w:r>
      <w:r w:rsidR="00D633A4" w:rsidRPr="00922244">
        <w:rPr>
          <w:szCs w:val="24"/>
        </w:rPr>
        <w:t>Bayoumi and Swistom</w:t>
      </w:r>
      <w:r w:rsidR="003D5560">
        <w:rPr>
          <w:szCs w:val="24"/>
        </w:rPr>
        <w:t xml:space="preserve"> (2009)</w:t>
      </w:r>
      <w:r w:rsidR="00D633A4" w:rsidRPr="00922244">
        <w:rPr>
          <w:szCs w:val="24"/>
        </w:rPr>
        <w:t xml:space="preserve"> approach has some caveats. It does not exclude the existence of other relevant geographical areas </w:t>
      </w:r>
      <w:r>
        <w:rPr>
          <w:szCs w:val="24"/>
        </w:rPr>
        <w:t xml:space="preserve">or </w:t>
      </w:r>
      <w:r w:rsidR="00D633A4" w:rsidRPr="00922244">
        <w:rPr>
          <w:szCs w:val="24"/>
        </w:rPr>
        <w:t xml:space="preserve">transmission channels. In addition, it does not account for the potential </w:t>
      </w:r>
      <w:r w:rsidR="00D633A4" w:rsidRPr="00A17C40">
        <w:rPr>
          <w:i/>
          <w:szCs w:val="24"/>
        </w:rPr>
        <w:t>collinearity</w:t>
      </w:r>
      <w:r w:rsidR="00D633A4" w:rsidRPr="00922244">
        <w:rPr>
          <w:szCs w:val="24"/>
        </w:rPr>
        <w:t xml:space="preserve"> </w:t>
      </w:r>
      <w:r>
        <w:rPr>
          <w:szCs w:val="24"/>
        </w:rPr>
        <w:t xml:space="preserve">among </w:t>
      </w:r>
      <w:r w:rsidR="00D633A4" w:rsidRPr="00922244">
        <w:rPr>
          <w:szCs w:val="24"/>
        </w:rPr>
        <w:t xml:space="preserve">the different geographical areas and transmission channels. This approach also implies that the sources of spillovers </w:t>
      </w:r>
      <w:r w:rsidR="00D633A4" w:rsidRPr="00922244">
        <w:rPr>
          <w:position w:val="-14"/>
          <w:szCs w:val="24"/>
        </w:rPr>
        <w:object w:dxaOrig="279" w:dyaOrig="380">
          <v:shape id="_x0000_i1048" type="#_x0000_t75" style="width:14.25pt;height:18.8pt" o:ole="">
            <v:imagedata r:id="rId87" o:title=""/>
          </v:shape>
          <o:OLEObject Type="Embed" ProgID="Equation.3" ShapeID="_x0000_i1048" DrawAspect="Content" ObjectID="_1492257027" r:id="rId88"/>
        </w:object>
      </w:r>
      <w:r w:rsidR="00D633A4" w:rsidRPr="00922244">
        <w:rPr>
          <w:szCs w:val="24"/>
        </w:rPr>
        <w:t xml:space="preserve">and </w:t>
      </w:r>
      <w:r w:rsidR="00D633A4" w:rsidRPr="00922244">
        <w:rPr>
          <w:position w:val="-12"/>
          <w:szCs w:val="24"/>
        </w:rPr>
        <w:object w:dxaOrig="220" w:dyaOrig="360">
          <v:shape id="_x0000_i1049" type="#_x0000_t75" style="width:11.05pt;height:18.15pt" o:ole="">
            <v:imagedata r:id="rId89" o:title=""/>
          </v:shape>
          <o:OLEObject Type="Embed" ProgID="Equation.3" ShapeID="_x0000_i1049" DrawAspect="Content" ObjectID="_1492257028" r:id="rId90"/>
        </w:object>
      </w:r>
      <w:r w:rsidR="00D633A4" w:rsidRPr="00922244">
        <w:rPr>
          <w:szCs w:val="24"/>
        </w:rPr>
        <w:t>are not necessarily required to sum up to the impulse response</w:t>
      </w:r>
      <w:r w:rsidR="00A17C40">
        <w:rPr>
          <w:szCs w:val="24"/>
        </w:rPr>
        <w:t xml:space="preserve"> </w:t>
      </w:r>
      <w:r w:rsidR="00A17C40" w:rsidRPr="00A17C40">
        <w:rPr>
          <w:i/>
          <w:szCs w:val="24"/>
        </w:rPr>
        <w:t>r</w:t>
      </w:r>
      <w:r w:rsidR="00D633A4" w:rsidRPr="00922244">
        <w:rPr>
          <w:szCs w:val="24"/>
        </w:rPr>
        <w:t xml:space="preserve">. However, it is a useful technique to gauge </w:t>
      </w:r>
      <w:r>
        <w:rPr>
          <w:szCs w:val="24"/>
        </w:rPr>
        <w:t xml:space="preserve">the </w:t>
      </w:r>
      <w:r w:rsidR="00D633A4" w:rsidRPr="00922244">
        <w:rPr>
          <w:szCs w:val="24"/>
        </w:rPr>
        <w:t xml:space="preserve">relative importance of major transmission channels and the impact of different geographical areas </w:t>
      </w:r>
      <w:r>
        <w:rPr>
          <w:szCs w:val="24"/>
        </w:rPr>
        <w:t xml:space="preserve">as part of </w:t>
      </w:r>
      <w:r w:rsidR="00D633A4" w:rsidRPr="00922244">
        <w:rPr>
          <w:szCs w:val="24"/>
        </w:rPr>
        <w:t>the impact of global shocks</w:t>
      </w:r>
      <w:r w:rsidR="00A17C40">
        <w:rPr>
          <w:szCs w:val="24"/>
        </w:rPr>
        <w:t xml:space="preserve">. </w:t>
      </w:r>
      <w:r>
        <w:rPr>
          <w:szCs w:val="24"/>
        </w:rPr>
        <w:t xml:space="preserve">In other words, it </w:t>
      </w:r>
      <w:r w:rsidR="00A17C40">
        <w:rPr>
          <w:szCs w:val="24"/>
        </w:rPr>
        <w:t xml:space="preserve">should not be interpreted as </w:t>
      </w:r>
      <w:r w:rsidR="00D633A4" w:rsidRPr="00922244">
        <w:rPr>
          <w:szCs w:val="24"/>
        </w:rPr>
        <w:t xml:space="preserve">a precise </w:t>
      </w:r>
      <w:r>
        <w:rPr>
          <w:szCs w:val="24"/>
        </w:rPr>
        <w:t xml:space="preserve">decomposition </w:t>
      </w:r>
      <w:r w:rsidR="00D633A4" w:rsidRPr="00922244">
        <w:rPr>
          <w:szCs w:val="24"/>
        </w:rPr>
        <w:t>of the impulse response</w:t>
      </w:r>
      <w:r w:rsidR="00A17C40">
        <w:rPr>
          <w:szCs w:val="24"/>
        </w:rPr>
        <w:t xml:space="preserve"> under the </w:t>
      </w:r>
      <w:r w:rsidR="00A17C40">
        <w:rPr>
          <w:i/>
          <w:szCs w:val="24"/>
        </w:rPr>
        <w:t xml:space="preserve">baseline </w:t>
      </w:r>
      <w:r w:rsidR="00A17C40">
        <w:rPr>
          <w:szCs w:val="24"/>
        </w:rPr>
        <w:t>SVAR</w:t>
      </w:r>
      <w:r w:rsidR="00D633A4" w:rsidRPr="00922244">
        <w:rPr>
          <w:szCs w:val="24"/>
        </w:rPr>
        <w:t>.</w:t>
      </w:r>
    </w:p>
    <w:p w:rsidR="00D633A4" w:rsidRPr="00922244" w:rsidRDefault="00D633A4" w:rsidP="00D633A4">
      <w:pPr>
        <w:tabs>
          <w:tab w:val="left" w:pos="0"/>
        </w:tabs>
        <w:autoSpaceDE w:val="0"/>
        <w:autoSpaceDN w:val="0"/>
        <w:adjustRightInd w:val="0"/>
        <w:jc w:val="both"/>
        <w:rPr>
          <w:szCs w:val="24"/>
        </w:rPr>
      </w:pPr>
    </w:p>
    <w:p w:rsidR="00D633A4" w:rsidRPr="00922244" w:rsidRDefault="00D633A4" w:rsidP="00D633A4">
      <w:pPr>
        <w:pStyle w:val="Heading2"/>
        <w:numPr>
          <w:ilvl w:val="0"/>
          <w:numId w:val="19"/>
        </w:numPr>
        <w:tabs>
          <w:tab w:val="left" w:pos="0"/>
        </w:tabs>
        <w:autoSpaceDE w:val="0"/>
        <w:autoSpaceDN w:val="0"/>
        <w:adjustRightInd w:val="0"/>
        <w:spacing w:after="120"/>
        <w:rPr>
          <w:rFonts w:cs="Times New Roman"/>
          <w:b w:val="0"/>
          <w:color w:val="000000" w:themeColor="text1"/>
          <w:szCs w:val="24"/>
        </w:rPr>
      </w:pPr>
      <w:r w:rsidRPr="00922244">
        <w:rPr>
          <w:rFonts w:cs="Times New Roman"/>
          <w:color w:val="000000" w:themeColor="text1"/>
          <w:szCs w:val="24"/>
        </w:rPr>
        <w:t>Sectoral Analysis</w:t>
      </w:r>
    </w:p>
    <w:p w:rsidR="00D633A4" w:rsidRDefault="00D633A4" w:rsidP="00D633A4">
      <w:pPr>
        <w:tabs>
          <w:tab w:val="left" w:pos="0"/>
        </w:tabs>
        <w:autoSpaceDE w:val="0"/>
        <w:autoSpaceDN w:val="0"/>
        <w:adjustRightInd w:val="0"/>
        <w:rPr>
          <w:szCs w:val="24"/>
        </w:rPr>
      </w:pPr>
      <w:r w:rsidRPr="00922244">
        <w:rPr>
          <w:szCs w:val="24"/>
        </w:rPr>
        <w:t xml:space="preserve">This paper also aims </w:t>
      </w:r>
      <w:r w:rsidR="00D06C41">
        <w:rPr>
          <w:szCs w:val="24"/>
        </w:rPr>
        <w:t xml:space="preserve">to identify </w:t>
      </w:r>
      <w:r w:rsidRPr="00922244">
        <w:rPr>
          <w:szCs w:val="24"/>
        </w:rPr>
        <w:t xml:space="preserve">the Armenian economic sectors that are </w:t>
      </w:r>
      <w:r w:rsidR="00D06C41">
        <w:rPr>
          <w:szCs w:val="24"/>
        </w:rPr>
        <w:t xml:space="preserve">most </w:t>
      </w:r>
      <w:r w:rsidR="00A17C40">
        <w:rPr>
          <w:szCs w:val="24"/>
        </w:rPr>
        <w:t xml:space="preserve">affected </w:t>
      </w:r>
      <w:r w:rsidRPr="00922244">
        <w:rPr>
          <w:szCs w:val="24"/>
        </w:rPr>
        <w:t xml:space="preserve">by global and regional spillovers. To that end, the paper estimates three SVAR models, one each </w:t>
      </w:r>
      <w:r w:rsidR="00D06C41">
        <w:rPr>
          <w:szCs w:val="24"/>
        </w:rPr>
        <w:t xml:space="preserve">for </w:t>
      </w:r>
      <w:r w:rsidRPr="00922244">
        <w:rPr>
          <w:szCs w:val="24"/>
        </w:rPr>
        <w:t xml:space="preserve">industry, construction and services. These three </w:t>
      </w:r>
      <w:r w:rsidRPr="00A17C40">
        <w:rPr>
          <w:i/>
          <w:szCs w:val="24"/>
        </w:rPr>
        <w:t>sectoral</w:t>
      </w:r>
      <w:r w:rsidRPr="00922244">
        <w:rPr>
          <w:szCs w:val="24"/>
        </w:rPr>
        <w:t xml:space="preserve"> SVAR models are similar to the </w:t>
      </w:r>
      <w:r w:rsidRPr="00922244">
        <w:rPr>
          <w:i/>
          <w:szCs w:val="24"/>
        </w:rPr>
        <w:t>baseline</w:t>
      </w:r>
      <w:r w:rsidRPr="00922244">
        <w:rPr>
          <w:szCs w:val="24"/>
        </w:rPr>
        <w:t xml:space="preserve"> SVAR estimated for the whole economy. The main difference is that the three </w:t>
      </w:r>
      <w:r w:rsidRPr="00922244">
        <w:rPr>
          <w:i/>
          <w:szCs w:val="24"/>
        </w:rPr>
        <w:t>sectoral</w:t>
      </w:r>
      <w:r w:rsidRPr="00922244">
        <w:rPr>
          <w:szCs w:val="24"/>
        </w:rPr>
        <w:t xml:space="preserve"> </w:t>
      </w:r>
      <w:r w:rsidRPr="00922244">
        <w:rPr>
          <w:i/>
          <w:szCs w:val="24"/>
        </w:rPr>
        <w:t xml:space="preserve">baseline </w:t>
      </w:r>
      <w:r w:rsidRPr="00922244">
        <w:rPr>
          <w:szCs w:val="24"/>
        </w:rPr>
        <w:t xml:space="preserve">SVAR include the real GDP growth rates of the three sectors, </w:t>
      </w:r>
      <w:r w:rsidRPr="00922244">
        <w:rPr>
          <w:position w:val="-12"/>
          <w:szCs w:val="24"/>
        </w:rPr>
        <w:object w:dxaOrig="480" w:dyaOrig="380">
          <v:shape id="_x0000_i1050" type="#_x0000_t75" style="width:24.65pt;height:20.1pt" o:ole="">
            <v:imagedata r:id="rId91" o:title=""/>
          </v:shape>
          <o:OLEObject Type="Embed" ProgID="Equation.3" ShapeID="_x0000_i1050" DrawAspect="Content" ObjectID="_1492257029" r:id="rId92"/>
        </w:object>
      </w:r>
      <w:r w:rsidRPr="00922244">
        <w:rPr>
          <w:szCs w:val="24"/>
        </w:rPr>
        <w:t xml:space="preserve"> (where s= services, construction and industry) To that end, a</w:t>
      </w:r>
      <w:r w:rsidR="00A17C40">
        <w:rPr>
          <w:szCs w:val="24"/>
        </w:rPr>
        <w:t>nd</w:t>
      </w:r>
      <w:r w:rsidRPr="00922244">
        <w:rPr>
          <w:szCs w:val="24"/>
        </w:rPr>
        <w:t xml:space="preserve"> again using </w:t>
      </w:r>
      <w:r w:rsidR="00D06C41">
        <w:rPr>
          <w:szCs w:val="24"/>
        </w:rPr>
        <w:t xml:space="preserve">the </w:t>
      </w:r>
      <w:r w:rsidRPr="00922244">
        <w:rPr>
          <w:szCs w:val="24"/>
        </w:rPr>
        <w:t>Bayoumi and Swiston</w:t>
      </w:r>
      <w:r w:rsidR="008C013A">
        <w:rPr>
          <w:szCs w:val="24"/>
        </w:rPr>
        <w:t xml:space="preserve"> (2009)</w:t>
      </w:r>
      <w:r w:rsidRPr="00922244">
        <w:rPr>
          <w:szCs w:val="24"/>
        </w:rPr>
        <w:t xml:space="preserve"> approach, the paper </w:t>
      </w:r>
      <w:r w:rsidR="00D06C41">
        <w:rPr>
          <w:szCs w:val="24"/>
        </w:rPr>
        <w:t xml:space="preserve">develops </w:t>
      </w:r>
      <w:r w:rsidRPr="00922244">
        <w:rPr>
          <w:szCs w:val="24"/>
        </w:rPr>
        <w:t xml:space="preserve">three </w:t>
      </w:r>
      <w:r w:rsidRPr="00922244">
        <w:rPr>
          <w:i/>
          <w:szCs w:val="24"/>
        </w:rPr>
        <w:t>sectoral augmented</w:t>
      </w:r>
      <w:r w:rsidRPr="00922244">
        <w:rPr>
          <w:szCs w:val="24"/>
        </w:rPr>
        <w:t xml:space="preserve"> SVAR models which will include </w:t>
      </w:r>
      <w:r w:rsidRPr="00922244">
        <w:rPr>
          <w:i/>
          <w:szCs w:val="24"/>
        </w:rPr>
        <w:t>one at a time</w:t>
      </w:r>
      <w:r w:rsidRPr="00922244">
        <w:rPr>
          <w:szCs w:val="24"/>
        </w:rPr>
        <w:t xml:space="preserve"> </w:t>
      </w:r>
      <w:r w:rsidR="00D06C41">
        <w:rPr>
          <w:szCs w:val="24"/>
        </w:rPr>
        <w:t xml:space="preserve">the </w:t>
      </w:r>
      <w:r w:rsidRPr="00922244">
        <w:rPr>
          <w:szCs w:val="24"/>
        </w:rPr>
        <w:t>time series of transmission channels.</w:t>
      </w:r>
    </w:p>
    <w:p w:rsidR="00D633A4" w:rsidRPr="00922244" w:rsidRDefault="00D633A4" w:rsidP="00D633A4">
      <w:pPr>
        <w:tabs>
          <w:tab w:val="left" w:pos="0"/>
        </w:tabs>
        <w:autoSpaceDE w:val="0"/>
        <w:autoSpaceDN w:val="0"/>
        <w:adjustRightInd w:val="0"/>
        <w:jc w:val="both"/>
        <w:rPr>
          <w:szCs w:val="24"/>
        </w:rPr>
      </w:pPr>
    </w:p>
    <w:p w:rsidR="00D633A4" w:rsidRPr="00922244" w:rsidRDefault="00D633A4" w:rsidP="00D633A4">
      <w:pPr>
        <w:pStyle w:val="Heading2"/>
        <w:numPr>
          <w:ilvl w:val="0"/>
          <w:numId w:val="19"/>
        </w:numPr>
        <w:tabs>
          <w:tab w:val="left" w:pos="0"/>
        </w:tabs>
        <w:autoSpaceDE w:val="0"/>
        <w:autoSpaceDN w:val="0"/>
        <w:adjustRightInd w:val="0"/>
        <w:spacing w:after="120"/>
        <w:rPr>
          <w:rFonts w:cs="Times New Roman"/>
          <w:b w:val="0"/>
          <w:color w:val="000000" w:themeColor="text1"/>
          <w:szCs w:val="24"/>
        </w:rPr>
      </w:pPr>
      <w:r w:rsidRPr="00922244">
        <w:rPr>
          <w:rFonts w:cs="Times New Roman"/>
          <w:color w:val="000000" w:themeColor="text1"/>
          <w:szCs w:val="24"/>
        </w:rPr>
        <w:t>Data</w:t>
      </w:r>
    </w:p>
    <w:p w:rsidR="00D633A4" w:rsidRDefault="00D633A4" w:rsidP="00D633A4">
      <w:pPr>
        <w:tabs>
          <w:tab w:val="left" w:pos="0"/>
        </w:tabs>
        <w:autoSpaceDE w:val="0"/>
        <w:autoSpaceDN w:val="0"/>
        <w:adjustRightInd w:val="0"/>
        <w:rPr>
          <w:szCs w:val="24"/>
        </w:rPr>
      </w:pPr>
      <w:r w:rsidRPr="00922244">
        <w:rPr>
          <w:szCs w:val="24"/>
        </w:rPr>
        <w:t xml:space="preserve">Estimations are conducted using two sets of variables. The dataset contains real GDP (non-agricultural), real value added </w:t>
      </w:r>
      <w:r w:rsidR="00D06C41">
        <w:rPr>
          <w:szCs w:val="24"/>
        </w:rPr>
        <w:t xml:space="preserve">in </w:t>
      </w:r>
      <w:r w:rsidRPr="00922244">
        <w:rPr>
          <w:szCs w:val="24"/>
        </w:rPr>
        <w:t>services, construction and industry), and balance of payment statistics</w:t>
      </w:r>
      <w:r w:rsidR="00D06C41">
        <w:rPr>
          <w:szCs w:val="24"/>
        </w:rPr>
        <w:t xml:space="preserve"> </w:t>
      </w:r>
      <w:r w:rsidR="00D06C41" w:rsidRPr="00922244">
        <w:rPr>
          <w:szCs w:val="24"/>
        </w:rPr>
        <w:t>time series</w:t>
      </w:r>
      <w:r w:rsidRPr="00922244">
        <w:rPr>
          <w:szCs w:val="24"/>
        </w:rPr>
        <w:t>, including exports, tourism net revenues, remittances net inflows, and</w:t>
      </w:r>
      <w:r w:rsidR="0001518F">
        <w:rPr>
          <w:szCs w:val="24"/>
        </w:rPr>
        <w:t xml:space="preserve"> </w:t>
      </w:r>
      <w:r w:rsidR="008C013A">
        <w:rPr>
          <w:szCs w:val="24"/>
        </w:rPr>
        <w:t xml:space="preserve">total </w:t>
      </w:r>
      <w:r w:rsidR="0001518F">
        <w:rPr>
          <w:szCs w:val="24"/>
        </w:rPr>
        <w:t>net</w:t>
      </w:r>
      <w:r w:rsidRPr="00922244">
        <w:rPr>
          <w:szCs w:val="24"/>
        </w:rPr>
        <w:t xml:space="preserve"> external borrowing</w:t>
      </w:r>
      <w:r w:rsidR="008C013A">
        <w:rPr>
          <w:szCs w:val="24"/>
        </w:rPr>
        <w:t xml:space="preserve"> (including private and public sectors)</w:t>
      </w:r>
      <w:r w:rsidRPr="00922244">
        <w:rPr>
          <w:szCs w:val="24"/>
        </w:rPr>
        <w:t xml:space="preserve">. The world and regional dataset includes an indicator of world economic activity (computed as the </w:t>
      </w:r>
      <w:r w:rsidR="00D06C41">
        <w:rPr>
          <w:szCs w:val="24"/>
        </w:rPr>
        <w:t xml:space="preserve">weighted </w:t>
      </w:r>
      <w:r w:rsidRPr="00922244">
        <w:rPr>
          <w:szCs w:val="24"/>
        </w:rPr>
        <w:t>average GDP of Armenia’s trading partners</w:t>
      </w:r>
      <w:r w:rsidR="00FD0284">
        <w:rPr>
          <w:szCs w:val="24"/>
        </w:rPr>
        <w:t>,</w:t>
      </w:r>
      <w:r w:rsidRPr="00922244">
        <w:rPr>
          <w:szCs w:val="24"/>
        </w:rPr>
        <w:t xml:space="preserve"> weighted </w:t>
      </w:r>
      <w:r w:rsidR="00FD0284">
        <w:rPr>
          <w:szCs w:val="24"/>
        </w:rPr>
        <w:t xml:space="preserve">by their </w:t>
      </w:r>
      <w:r w:rsidRPr="00922244">
        <w:rPr>
          <w:szCs w:val="24"/>
        </w:rPr>
        <w:t>shares in Armenian exports),</w:t>
      </w:r>
      <w:r w:rsidR="001D338C">
        <w:rPr>
          <w:rStyle w:val="FootnoteReference"/>
          <w:szCs w:val="24"/>
        </w:rPr>
        <w:footnoteReference w:id="6"/>
      </w:r>
      <w:r w:rsidRPr="00922244">
        <w:rPr>
          <w:szCs w:val="24"/>
        </w:rPr>
        <w:t xml:space="preserve"> a world </w:t>
      </w:r>
      <w:r w:rsidR="008C013A">
        <w:rPr>
          <w:szCs w:val="24"/>
        </w:rPr>
        <w:t xml:space="preserve">commodity </w:t>
      </w:r>
      <w:r w:rsidRPr="00922244">
        <w:rPr>
          <w:szCs w:val="24"/>
        </w:rPr>
        <w:t xml:space="preserve">price index (given by the IMF’s crude oil prices index), and an indicator of international financial market conditions (given by the VIX, </w:t>
      </w:r>
      <w:r w:rsidR="00237F84">
        <w:rPr>
          <w:szCs w:val="24"/>
        </w:rPr>
        <w:t xml:space="preserve">which </w:t>
      </w:r>
      <w:r w:rsidRPr="00922244">
        <w:rPr>
          <w:szCs w:val="24"/>
        </w:rPr>
        <w:t>measure</w:t>
      </w:r>
      <w:r w:rsidR="00237F84">
        <w:rPr>
          <w:szCs w:val="24"/>
        </w:rPr>
        <w:t>s</w:t>
      </w:r>
      <w:r w:rsidRPr="00922244">
        <w:rPr>
          <w:szCs w:val="24"/>
        </w:rPr>
        <w:t xml:space="preserve"> </w:t>
      </w:r>
      <w:r w:rsidR="00237F84" w:rsidRPr="00922244">
        <w:rPr>
          <w:szCs w:val="24"/>
        </w:rPr>
        <w:t>investor</w:t>
      </w:r>
      <w:r w:rsidR="00237F84">
        <w:rPr>
          <w:szCs w:val="24"/>
        </w:rPr>
        <w:t xml:space="preserve"> </w:t>
      </w:r>
      <w:r w:rsidR="00237F84" w:rsidRPr="00922244">
        <w:rPr>
          <w:szCs w:val="24"/>
        </w:rPr>
        <w:t>risk</w:t>
      </w:r>
      <w:r w:rsidR="00237F84">
        <w:rPr>
          <w:szCs w:val="24"/>
        </w:rPr>
        <w:t xml:space="preserve"> </w:t>
      </w:r>
      <w:r w:rsidRPr="00922244">
        <w:rPr>
          <w:szCs w:val="24"/>
        </w:rPr>
        <w:t xml:space="preserve">aversion). It includes as well </w:t>
      </w:r>
      <w:r w:rsidR="00237F84">
        <w:rPr>
          <w:szCs w:val="24"/>
        </w:rPr>
        <w:t>real GDP series for the EU, Russia and the U.S.</w:t>
      </w:r>
      <w:r w:rsidRPr="00922244">
        <w:rPr>
          <w:szCs w:val="24"/>
        </w:rPr>
        <w:t xml:space="preserve"> </w:t>
      </w:r>
      <w:r w:rsidR="00237F84">
        <w:rPr>
          <w:szCs w:val="24"/>
        </w:rPr>
        <w:t xml:space="preserve">Data are </w:t>
      </w:r>
      <w:r w:rsidRPr="00922244">
        <w:rPr>
          <w:szCs w:val="24"/>
        </w:rPr>
        <w:t xml:space="preserve">quarterly </w:t>
      </w:r>
      <w:r w:rsidR="00237F84">
        <w:rPr>
          <w:szCs w:val="24"/>
        </w:rPr>
        <w:t xml:space="preserve">for </w:t>
      </w:r>
      <w:r w:rsidRPr="00922244">
        <w:rPr>
          <w:szCs w:val="24"/>
        </w:rPr>
        <w:t>2000Q1 to 2014Q1. Armenian time series have been obtained from Central Bank of</w:t>
      </w:r>
      <w:r w:rsidR="00A17C40">
        <w:rPr>
          <w:szCs w:val="24"/>
        </w:rPr>
        <w:t xml:space="preserve"> Armenia and National Statistical S</w:t>
      </w:r>
      <w:r w:rsidRPr="00922244">
        <w:rPr>
          <w:szCs w:val="24"/>
        </w:rPr>
        <w:t xml:space="preserve">ervice of Armenia. World and regional data have been taken from IMF, WB, Federal State Statistics Service of Russian Federation, Bureau of Economic Analysis, and Eurostat. </w:t>
      </w: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DF08EA" w:rsidRDefault="00DF08EA" w:rsidP="00D633A4">
      <w:pPr>
        <w:tabs>
          <w:tab w:val="left" w:pos="0"/>
        </w:tabs>
        <w:autoSpaceDE w:val="0"/>
        <w:autoSpaceDN w:val="0"/>
        <w:adjustRightInd w:val="0"/>
        <w:rPr>
          <w:szCs w:val="24"/>
        </w:rPr>
      </w:pPr>
    </w:p>
    <w:p w:rsidR="0001518F" w:rsidRPr="00922244" w:rsidRDefault="0001518F" w:rsidP="00D633A4">
      <w:pPr>
        <w:tabs>
          <w:tab w:val="left" w:pos="0"/>
        </w:tabs>
        <w:autoSpaceDE w:val="0"/>
        <w:autoSpaceDN w:val="0"/>
        <w:adjustRightInd w:val="0"/>
        <w:rPr>
          <w:b/>
          <w:szCs w:val="24"/>
        </w:rPr>
      </w:pPr>
    </w:p>
    <w:p w:rsidR="00B5207E" w:rsidRPr="007D2997" w:rsidRDefault="00B5207E" w:rsidP="007D4175">
      <w:pPr>
        <w:pStyle w:val="Heading1"/>
        <w:rPr>
          <w:smallCaps w:val="0"/>
          <w:szCs w:val="24"/>
        </w:rPr>
      </w:pPr>
      <w:r w:rsidRPr="007D2997">
        <w:rPr>
          <w:szCs w:val="24"/>
        </w:rPr>
        <w:lastRenderedPageBreak/>
        <w:t>Econometric Results</w:t>
      </w:r>
    </w:p>
    <w:p w:rsidR="00B5207E" w:rsidRPr="00922244" w:rsidRDefault="00B5207E" w:rsidP="00B5207E">
      <w:pPr>
        <w:pStyle w:val="ListParagraph"/>
        <w:tabs>
          <w:tab w:val="left" w:pos="0"/>
        </w:tabs>
        <w:autoSpaceDE w:val="0"/>
        <w:autoSpaceDN w:val="0"/>
        <w:adjustRightInd w:val="0"/>
        <w:ind w:left="0"/>
        <w:rPr>
          <w:b/>
          <w:szCs w:val="24"/>
        </w:rPr>
      </w:pPr>
    </w:p>
    <w:p w:rsidR="00694C52" w:rsidRPr="00922244" w:rsidRDefault="00B5207E" w:rsidP="00694C52">
      <w:pPr>
        <w:pStyle w:val="ListParagraph"/>
        <w:tabs>
          <w:tab w:val="left" w:pos="0"/>
          <w:tab w:val="left" w:pos="360"/>
        </w:tabs>
        <w:autoSpaceDE w:val="0"/>
        <w:autoSpaceDN w:val="0"/>
        <w:adjustRightInd w:val="0"/>
        <w:ind w:left="0"/>
        <w:jc w:val="both"/>
        <w:rPr>
          <w:szCs w:val="24"/>
        </w:rPr>
      </w:pPr>
      <w:r w:rsidRPr="00922244">
        <w:rPr>
          <w:b/>
          <w:i/>
          <w:szCs w:val="24"/>
        </w:rPr>
        <w:t>What is the overall impact of global shocks on Armenian economy?</w:t>
      </w:r>
    </w:p>
    <w:tbl>
      <w:tblPr>
        <w:tblpPr w:leftFromText="180" w:rightFromText="180" w:vertAnchor="text" w:horzAnchor="margin" w:tblpXSpec="right" w:tblpY="1961"/>
        <w:tblW w:w="3978" w:type="dxa"/>
        <w:tblLook w:val="04A0" w:firstRow="1" w:lastRow="0" w:firstColumn="1" w:lastColumn="0" w:noHBand="0" w:noVBand="1"/>
      </w:tblPr>
      <w:tblGrid>
        <w:gridCol w:w="2178"/>
        <w:gridCol w:w="1800"/>
      </w:tblGrid>
      <w:tr w:rsidR="00B5207E" w:rsidRPr="001B6995" w:rsidTr="00B5207E">
        <w:trPr>
          <w:trHeight w:val="602"/>
        </w:trPr>
        <w:tc>
          <w:tcPr>
            <w:tcW w:w="3978" w:type="dxa"/>
            <w:gridSpan w:val="2"/>
            <w:tcBorders>
              <w:top w:val="single" w:sz="4" w:space="0" w:color="auto"/>
              <w:left w:val="single" w:sz="4" w:space="0" w:color="auto"/>
              <w:right w:val="single" w:sz="4" w:space="0" w:color="auto"/>
            </w:tcBorders>
            <w:shd w:val="clear" w:color="auto" w:fill="auto"/>
            <w:hideMark/>
          </w:tcPr>
          <w:p w:rsidR="00B5207E" w:rsidRPr="001B6995" w:rsidRDefault="00B5207E" w:rsidP="000B4F9F">
            <w:pPr>
              <w:jc w:val="center"/>
              <w:textAlignment w:val="baseline"/>
              <w:rPr>
                <w:sz w:val="20"/>
                <w:lang w:eastAsia="ru-RU"/>
              </w:rPr>
            </w:pPr>
            <w:r w:rsidRPr="001B6995">
              <w:rPr>
                <w:b/>
                <w:bCs/>
                <w:color w:val="000000"/>
                <w:kern w:val="24"/>
                <w:sz w:val="20"/>
                <w:lang w:eastAsia="ru-RU"/>
              </w:rPr>
              <w:t>Table 3:  Sizes of one-standard deviation structural shocks to the model</w:t>
            </w:r>
          </w:p>
        </w:tc>
      </w:tr>
      <w:tr w:rsidR="00B5207E" w:rsidRPr="001B6995" w:rsidTr="00B5207E">
        <w:trPr>
          <w:trHeight w:val="12"/>
        </w:trPr>
        <w:tc>
          <w:tcPr>
            <w:tcW w:w="3978" w:type="dxa"/>
            <w:gridSpan w:val="2"/>
            <w:tcBorders>
              <w:left w:val="single" w:sz="4" w:space="0" w:color="auto"/>
              <w:right w:val="single" w:sz="4" w:space="0" w:color="auto"/>
            </w:tcBorders>
            <w:shd w:val="clear" w:color="auto" w:fill="auto"/>
            <w:hideMark/>
          </w:tcPr>
          <w:p w:rsidR="00B5207E" w:rsidRPr="001B6995" w:rsidRDefault="00B5207E" w:rsidP="000B4F9F">
            <w:pPr>
              <w:jc w:val="center"/>
              <w:textAlignment w:val="baseline"/>
              <w:rPr>
                <w:b/>
                <w:bCs/>
                <w:color w:val="000000"/>
                <w:kern w:val="24"/>
                <w:szCs w:val="24"/>
                <w:lang w:eastAsia="ru-RU"/>
              </w:rPr>
            </w:pPr>
          </w:p>
        </w:tc>
      </w:tr>
      <w:tr w:rsidR="00B5207E" w:rsidRPr="001B6995" w:rsidTr="00B5207E">
        <w:trPr>
          <w:trHeight w:val="311"/>
        </w:trPr>
        <w:tc>
          <w:tcPr>
            <w:tcW w:w="2178" w:type="dxa"/>
            <w:tcBorders>
              <w:left w:val="single" w:sz="4" w:space="0" w:color="auto"/>
            </w:tcBorders>
            <w:shd w:val="clear" w:color="auto" w:fill="auto"/>
            <w:hideMark/>
          </w:tcPr>
          <w:p w:rsidR="00B5207E" w:rsidRPr="001B6995" w:rsidRDefault="00B5207E" w:rsidP="000B4F9F">
            <w:pPr>
              <w:textAlignment w:val="bottom"/>
              <w:rPr>
                <w:sz w:val="20"/>
                <w:lang w:val="ru-RU" w:eastAsia="ru-RU"/>
              </w:rPr>
            </w:pPr>
            <w:r w:rsidRPr="001B6995">
              <w:rPr>
                <w:b/>
                <w:bCs/>
                <w:color w:val="000000"/>
                <w:kern w:val="24"/>
                <w:sz w:val="20"/>
                <w:lang w:eastAsia="ru-RU"/>
              </w:rPr>
              <w:t xml:space="preserve">Variable </w:t>
            </w:r>
          </w:p>
        </w:tc>
        <w:tc>
          <w:tcPr>
            <w:tcW w:w="1800" w:type="dxa"/>
            <w:tcBorders>
              <w:right w:val="single" w:sz="4" w:space="0" w:color="auto"/>
            </w:tcBorders>
            <w:shd w:val="clear" w:color="auto" w:fill="auto"/>
            <w:hideMark/>
          </w:tcPr>
          <w:p w:rsidR="00B5207E" w:rsidRPr="001B6995" w:rsidRDefault="00B5207E" w:rsidP="000B4F9F">
            <w:pPr>
              <w:textAlignment w:val="bottom"/>
              <w:rPr>
                <w:sz w:val="20"/>
                <w:lang w:val="ru-RU" w:eastAsia="ru-RU"/>
              </w:rPr>
            </w:pPr>
            <w:r w:rsidRPr="001B6995">
              <w:rPr>
                <w:b/>
                <w:bCs/>
                <w:color w:val="000000"/>
                <w:kern w:val="24"/>
                <w:sz w:val="20"/>
                <w:lang w:eastAsia="ru-RU"/>
              </w:rPr>
              <w:t xml:space="preserve">Size </w:t>
            </w:r>
          </w:p>
        </w:tc>
      </w:tr>
      <w:tr w:rsidR="00B5207E" w:rsidRPr="001B6995" w:rsidTr="00B5207E">
        <w:trPr>
          <w:trHeight w:val="86"/>
        </w:trPr>
        <w:tc>
          <w:tcPr>
            <w:tcW w:w="2178" w:type="dxa"/>
            <w:tcBorders>
              <w:left w:val="single" w:sz="4" w:space="0" w:color="auto"/>
            </w:tcBorders>
            <w:shd w:val="clear" w:color="auto" w:fill="auto"/>
            <w:hideMark/>
          </w:tcPr>
          <w:p w:rsidR="00B5207E" w:rsidRPr="001B6995" w:rsidRDefault="00B5207E" w:rsidP="000B4F9F">
            <w:pPr>
              <w:textAlignment w:val="bottom"/>
              <w:rPr>
                <w:b/>
                <w:bCs/>
                <w:color w:val="000000"/>
                <w:kern w:val="24"/>
                <w:sz w:val="20"/>
                <w:lang w:eastAsia="ru-RU"/>
              </w:rPr>
            </w:pPr>
          </w:p>
        </w:tc>
        <w:tc>
          <w:tcPr>
            <w:tcW w:w="1800" w:type="dxa"/>
            <w:tcBorders>
              <w:right w:val="single" w:sz="4" w:space="0" w:color="auto"/>
            </w:tcBorders>
            <w:shd w:val="clear" w:color="auto" w:fill="auto"/>
            <w:hideMark/>
          </w:tcPr>
          <w:p w:rsidR="00B5207E" w:rsidRPr="001B6995" w:rsidRDefault="00B5207E" w:rsidP="000B4F9F">
            <w:pPr>
              <w:textAlignment w:val="bottom"/>
              <w:rPr>
                <w:b/>
                <w:bCs/>
                <w:color w:val="000000"/>
                <w:kern w:val="24"/>
                <w:sz w:val="20"/>
                <w:lang w:eastAsia="ru-RU"/>
              </w:rPr>
            </w:pPr>
          </w:p>
        </w:tc>
      </w:tr>
      <w:tr w:rsidR="00B5207E" w:rsidRPr="001B6995" w:rsidTr="00B5207E">
        <w:trPr>
          <w:trHeight w:val="406"/>
        </w:trPr>
        <w:tc>
          <w:tcPr>
            <w:tcW w:w="2178" w:type="dxa"/>
            <w:tcBorders>
              <w:left w:val="single" w:sz="4" w:space="0" w:color="auto"/>
            </w:tcBorders>
            <w:shd w:val="clear" w:color="auto" w:fill="auto"/>
            <w:hideMark/>
          </w:tcPr>
          <w:p w:rsidR="00B5207E" w:rsidRPr="001B6995" w:rsidRDefault="00F94C81" w:rsidP="000B4F9F">
            <w:pPr>
              <w:textAlignment w:val="bottom"/>
              <w:rPr>
                <w:sz w:val="20"/>
                <w:lang w:val="ru-RU" w:eastAsia="ru-RU"/>
              </w:rPr>
            </w:pPr>
            <w:r>
              <w:rPr>
                <w:color w:val="000000"/>
                <w:kern w:val="24"/>
                <w:sz w:val="20"/>
                <w:lang w:eastAsia="ru-RU"/>
              </w:rPr>
              <w:t xml:space="preserve">IMF </w:t>
            </w:r>
            <w:r w:rsidR="00B5207E" w:rsidRPr="001B6995">
              <w:rPr>
                <w:color w:val="000000"/>
                <w:kern w:val="24"/>
                <w:sz w:val="20"/>
                <w:lang w:eastAsia="ru-RU"/>
              </w:rPr>
              <w:t>Crude Oil</w:t>
            </w:r>
            <w:r>
              <w:rPr>
                <w:color w:val="000000"/>
                <w:kern w:val="24"/>
                <w:sz w:val="20"/>
                <w:lang w:eastAsia="ru-RU"/>
              </w:rPr>
              <w:t xml:space="preserve"> Index</w:t>
            </w:r>
            <w:r w:rsidR="00B5207E" w:rsidRPr="001B6995">
              <w:rPr>
                <w:color w:val="000000"/>
                <w:kern w:val="24"/>
                <w:sz w:val="20"/>
                <w:lang w:eastAsia="ru-RU"/>
              </w:rPr>
              <w:t xml:space="preserve"> </w:t>
            </w:r>
          </w:p>
        </w:tc>
        <w:tc>
          <w:tcPr>
            <w:tcW w:w="1800" w:type="dxa"/>
            <w:tcBorders>
              <w:right w:val="single" w:sz="4" w:space="0" w:color="auto"/>
            </w:tcBorders>
            <w:shd w:val="clear" w:color="auto" w:fill="auto"/>
            <w:hideMark/>
          </w:tcPr>
          <w:p w:rsidR="00B5207E" w:rsidRPr="001B6995" w:rsidRDefault="00B5207E" w:rsidP="000B4F9F">
            <w:pPr>
              <w:textAlignment w:val="bottom"/>
              <w:rPr>
                <w:sz w:val="20"/>
                <w:lang w:val="ru-RU" w:eastAsia="ru-RU"/>
              </w:rPr>
            </w:pPr>
            <w:r w:rsidRPr="001B6995">
              <w:rPr>
                <w:color w:val="000000"/>
                <w:kern w:val="24"/>
                <w:sz w:val="20"/>
                <w:lang w:eastAsia="ru-RU"/>
              </w:rPr>
              <w:t>73.6   basis point</w:t>
            </w:r>
            <w:r w:rsidR="00620A52">
              <w:rPr>
                <w:color w:val="000000"/>
                <w:kern w:val="24"/>
                <w:sz w:val="20"/>
                <w:lang w:eastAsia="ru-RU"/>
              </w:rPr>
              <w:t>s</w:t>
            </w:r>
            <w:r w:rsidRPr="001B6995">
              <w:rPr>
                <w:color w:val="000000"/>
                <w:kern w:val="24"/>
                <w:sz w:val="20"/>
                <w:lang w:eastAsia="ru-RU"/>
              </w:rPr>
              <w:t xml:space="preserve"> </w:t>
            </w:r>
          </w:p>
        </w:tc>
      </w:tr>
      <w:tr w:rsidR="00B5207E" w:rsidRPr="001B6995" w:rsidTr="00B5207E">
        <w:trPr>
          <w:trHeight w:val="406"/>
        </w:trPr>
        <w:tc>
          <w:tcPr>
            <w:tcW w:w="2178" w:type="dxa"/>
            <w:tcBorders>
              <w:left w:val="single" w:sz="4" w:space="0" w:color="auto"/>
            </w:tcBorders>
            <w:shd w:val="clear" w:color="auto" w:fill="auto"/>
            <w:hideMark/>
          </w:tcPr>
          <w:p w:rsidR="00B5207E" w:rsidRPr="001B6995" w:rsidRDefault="00F94C81" w:rsidP="000B4F9F">
            <w:pPr>
              <w:textAlignment w:val="bottom"/>
              <w:rPr>
                <w:sz w:val="20"/>
                <w:lang w:val="ru-RU" w:eastAsia="ru-RU"/>
              </w:rPr>
            </w:pPr>
            <w:r>
              <w:rPr>
                <w:color w:val="000000"/>
                <w:kern w:val="24"/>
                <w:sz w:val="20"/>
                <w:lang w:eastAsia="ru-RU"/>
              </w:rPr>
              <w:t>World D</w:t>
            </w:r>
            <w:r w:rsidR="00B5207E" w:rsidRPr="001B6995">
              <w:rPr>
                <w:color w:val="000000"/>
                <w:kern w:val="24"/>
                <w:sz w:val="20"/>
                <w:lang w:eastAsia="ru-RU"/>
              </w:rPr>
              <w:t xml:space="preserve">emand </w:t>
            </w:r>
            <w:r>
              <w:rPr>
                <w:color w:val="000000"/>
                <w:kern w:val="24"/>
                <w:sz w:val="20"/>
                <w:lang w:eastAsia="ru-RU"/>
              </w:rPr>
              <w:t>Growth (In percent)</w:t>
            </w:r>
          </w:p>
        </w:tc>
        <w:tc>
          <w:tcPr>
            <w:tcW w:w="1800" w:type="dxa"/>
            <w:tcBorders>
              <w:right w:val="single" w:sz="4" w:space="0" w:color="auto"/>
            </w:tcBorders>
            <w:shd w:val="clear" w:color="auto" w:fill="auto"/>
            <w:hideMark/>
          </w:tcPr>
          <w:p w:rsidR="00B5207E" w:rsidRPr="001B6995" w:rsidRDefault="00B5207E" w:rsidP="00F94C81">
            <w:pPr>
              <w:textAlignment w:val="bottom"/>
              <w:rPr>
                <w:sz w:val="20"/>
                <w:lang w:val="ru-RU" w:eastAsia="ru-RU"/>
              </w:rPr>
            </w:pPr>
            <w:r w:rsidRPr="001B6995">
              <w:rPr>
                <w:color w:val="000000"/>
                <w:kern w:val="24"/>
                <w:sz w:val="20"/>
                <w:lang w:eastAsia="ru-RU"/>
              </w:rPr>
              <w:t>0.</w:t>
            </w:r>
            <w:r w:rsidR="00F94C81">
              <w:rPr>
                <w:color w:val="000000"/>
                <w:kern w:val="24"/>
                <w:sz w:val="20"/>
                <w:lang w:eastAsia="ru-RU"/>
              </w:rPr>
              <w:t>6</w:t>
            </w:r>
            <w:r w:rsidRPr="001B6995">
              <w:rPr>
                <w:color w:val="000000"/>
                <w:kern w:val="24"/>
                <w:sz w:val="20"/>
                <w:lang w:eastAsia="ru-RU"/>
              </w:rPr>
              <w:t xml:space="preserve">     percentage point </w:t>
            </w:r>
          </w:p>
        </w:tc>
      </w:tr>
      <w:tr w:rsidR="00B5207E" w:rsidRPr="001B6995" w:rsidTr="00B5207E">
        <w:trPr>
          <w:trHeight w:val="253"/>
        </w:trPr>
        <w:tc>
          <w:tcPr>
            <w:tcW w:w="2178" w:type="dxa"/>
            <w:tcBorders>
              <w:left w:val="single" w:sz="4" w:space="0" w:color="auto"/>
              <w:bottom w:val="single" w:sz="4" w:space="0" w:color="auto"/>
            </w:tcBorders>
            <w:shd w:val="clear" w:color="auto" w:fill="auto"/>
            <w:hideMark/>
          </w:tcPr>
          <w:p w:rsidR="00B5207E" w:rsidRPr="001B6995" w:rsidRDefault="00B5207E" w:rsidP="00F94C81">
            <w:pPr>
              <w:textAlignment w:val="bottom"/>
              <w:rPr>
                <w:sz w:val="20"/>
                <w:lang w:val="ru-RU" w:eastAsia="ru-RU"/>
              </w:rPr>
            </w:pPr>
            <w:r w:rsidRPr="001B6995">
              <w:rPr>
                <w:color w:val="000000"/>
                <w:kern w:val="24"/>
                <w:sz w:val="20"/>
                <w:lang w:eastAsia="ru-RU"/>
              </w:rPr>
              <w:t>Fin</w:t>
            </w:r>
            <w:r w:rsidR="00F94C81">
              <w:rPr>
                <w:color w:val="000000"/>
                <w:kern w:val="24"/>
                <w:sz w:val="20"/>
                <w:lang w:eastAsia="ru-RU"/>
              </w:rPr>
              <w:t>ancial Vo</w:t>
            </w:r>
            <w:r w:rsidRPr="001B6995">
              <w:rPr>
                <w:color w:val="000000"/>
                <w:kern w:val="24"/>
                <w:sz w:val="20"/>
                <w:lang w:eastAsia="ru-RU"/>
              </w:rPr>
              <w:t xml:space="preserve">latility </w:t>
            </w:r>
            <w:r w:rsidR="00F94C81">
              <w:rPr>
                <w:color w:val="000000"/>
                <w:kern w:val="24"/>
                <w:sz w:val="20"/>
                <w:lang w:eastAsia="ru-RU"/>
              </w:rPr>
              <w:t>Index</w:t>
            </w:r>
          </w:p>
        </w:tc>
        <w:tc>
          <w:tcPr>
            <w:tcW w:w="1800" w:type="dxa"/>
            <w:tcBorders>
              <w:bottom w:val="single" w:sz="4" w:space="0" w:color="auto"/>
              <w:right w:val="single" w:sz="4" w:space="0" w:color="auto"/>
            </w:tcBorders>
            <w:shd w:val="clear" w:color="auto" w:fill="auto"/>
            <w:hideMark/>
          </w:tcPr>
          <w:p w:rsidR="00B5207E" w:rsidRPr="001B6995" w:rsidRDefault="00B5207E" w:rsidP="000B4F9F">
            <w:pPr>
              <w:textAlignment w:val="bottom"/>
              <w:rPr>
                <w:sz w:val="20"/>
                <w:lang w:val="ru-RU" w:eastAsia="ru-RU"/>
              </w:rPr>
            </w:pPr>
            <w:r w:rsidRPr="001B6995">
              <w:rPr>
                <w:color w:val="000000"/>
                <w:kern w:val="24"/>
                <w:sz w:val="20"/>
                <w:lang w:eastAsia="ru-RU"/>
              </w:rPr>
              <w:t>27.8   basis point</w:t>
            </w:r>
            <w:r w:rsidR="00620A52">
              <w:rPr>
                <w:color w:val="000000"/>
                <w:kern w:val="24"/>
                <w:sz w:val="20"/>
                <w:lang w:eastAsia="ru-RU"/>
              </w:rPr>
              <w:t>s</w:t>
            </w:r>
            <w:r w:rsidRPr="001B6995">
              <w:rPr>
                <w:color w:val="000000"/>
                <w:kern w:val="24"/>
                <w:sz w:val="20"/>
                <w:lang w:eastAsia="ru-RU"/>
              </w:rPr>
              <w:t xml:space="preserve"> </w:t>
            </w:r>
          </w:p>
        </w:tc>
      </w:tr>
    </w:tbl>
    <w:p w:rsidR="00694C52" w:rsidRDefault="00694C52">
      <w:pPr>
        <w:rPr>
          <w:szCs w:val="24"/>
        </w:rPr>
      </w:pPr>
    </w:p>
    <w:p w:rsidR="00F3228E" w:rsidRDefault="00B5207E">
      <w:pPr>
        <w:rPr>
          <w:szCs w:val="24"/>
        </w:rPr>
      </w:pPr>
      <w:r w:rsidRPr="00922244">
        <w:rPr>
          <w:szCs w:val="24"/>
        </w:rPr>
        <w:t xml:space="preserve">To respond </w:t>
      </w:r>
      <w:r w:rsidR="00237F84">
        <w:rPr>
          <w:szCs w:val="24"/>
        </w:rPr>
        <w:t xml:space="preserve">to </w:t>
      </w:r>
      <w:r w:rsidRPr="00922244">
        <w:rPr>
          <w:szCs w:val="24"/>
        </w:rPr>
        <w:t xml:space="preserve">this </w:t>
      </w:r>
      <w:r w:rsidR="00237F84" w:rsidRPr="00922244">
        <w:rPr>
          <w:szCs w:val="24"/>
        </w:rPr>
        <w:t>question</w:t>
      </w:r>
      <w:r w:rsidR="00237F84">
        <w:rPr>
          <w:szCs w:val="24"/>
        </w:rPr>
        <w:t xml:space="preserve">, </w:t>
      </w:r>
      <w:r w:rsidRPr="00922244">
        <w:rPr>
          <w:szCs w:val="24"/>
        </w:rPr>
        <w:t xml:space="preserve">we estimate the </w:t>
      </w:r>
      <w:r w:rsidRPr="00922244">
        <w:rPr>
          <w:i/>
          <w:szCs w:val="24"/>
        </w:rPr>
        <w:t>baseline</w:t>
      </w:r>
      <w:r w:rsidRPr="00922244">
        <w:rPr>
          <w:szCs w:val="24"/>
        </w:rPr>
        <w:t xml:space="preserve"> SVAR model by including in Z four variables: the change in IMF’s crude oil prices index, the growth rate of weighted-average world GDP, the change in </w:t>
      </w:r>
      <w:r w:rsidR="00237F84">
        <w:rPr>
          <w:szCs w:val="24"/>
        </w:rPr>
        <w:t xml:space="preserve">the </w:t>
      </w:r>
      <w:r w:rsidRPr="00922244">
        <w:rPr>
          <w:szCs w:val="24"/>
        </w:rPr>
        <w:t xml:space="preserve">VIX index and the growth rate of Armenia’s real non-agricultural GDP. The estimation includes two lags, which according to Schwarz information criteria is the optimal lag length. Figure </w:t>
      </w:r>
      <w:r>
        <w:rPr>
          <w:szCs w:val="24"/>
        </w:rPr>
        <w:t>14</w:t>
      </w:r>
      <w:r w:rsidRPr="00922244">
        <w:rPr>
          <w:szCs w:val="24"/>
        </w:rPr>
        <w:t xml:space="preserve"> shows the impulse response function</w:t>
      </w:r>
      <w:r w:rsidR="00237F84">
        <w:rPr>
          <w:szCs w:val="24"/>
        </w:rPr>
        <w:t>s</w:t>
      </w:r>
      <w:r w:rsidRPr="00922244">
        <w:rPr>
          <w:szCs w:val="24"/>
        </w:rPr>
        <w:t xml:space="preserve"> (IRFs) of growth </w:t>
      </w:r>
      <w:r w:rsidR="00237F84">
        <w:rPr>
          <w:szCs w:val="24"/>
        </w:rPr>
        <w:t xml:space="preserve">of </w:t>
      </w:r>
      <w:r w:rsidRPr="00922244">
        <w:rPr>
          <w:szCs w:val="24"/>
        </w:rPr>
        <w:t>Armenian GDP to a</w:t>
      </w:r>
      <w:r>
        <w:rPr>
          <w:szCs w:val="24"/>
        </w:rPr>
        <w:t xml:space="preserve"> structural</w:t>
      </w:r>
      <w:r w:rsidRPr="00922244">
        <w:rPr>
          <w:szCs w:val="24"/>
        </w:rPr>
        <w:t xml:space="preserve"> one standard deviation shock in the growth of world GDP and changes in both, the international oil prices index and VIX (see Table 3). The IRFs show that Armenia’s real GDP (non-agricultural) growth is affected negatively, although in small magnitude, by changes in risk perception in global financial markets</w:t>
      </w:r>
      <w:r w:rsidR="002F13F0">
        <w:rPr>
          <w:szCs w:val="24"/>
        </w:rPr>
        <w:t xml:space="preserve">, measured as one-standard deviation in the VIX index </w:t>
      </w:r>
      <w:r w:rsidR="0001518F">
        <w:rPr>
          <w:szCs w:val="24"/>
        </w:rPr>
        <w:t xml:space="preserve"> </w:t>
      </w:r>
      <w:r w:rsidR="0001518F" w:rsidRPr="00922244">
        <w:rPr>
          <w:szCs w:val="24"/>
        </w:rPr>
        <w:t xml:space="preserve">(Figure </w:t>
      </w:r>
      <w:r w:rsidR="0001518F">
        <w:rPr>
          <w:szCs w:val="24"/>
        </w:rPr>
        <w:t>14</w:t>
      </w:r>
      <w:r w:rsidR="0001518F" w:rsidRPr="00922244">
        <w:rPr>
          <w:szCs w:val="24"/>
        </w:rPr>
        <w:t xml:space="preserve">, panel </w:t>
      </w:r>
      <w:r w:rsidR="0001518F">
        <w:rPr>
          <w:szCs w:val="24"/>
        </w:rPr>
        <w:t>3)</w:t>
      </w:r>
      <w:r w:rsidRPr="00922244">
        <w:rPr>
          <w:szCs w:val="24"/>
        </w:rPr>
        <w:t>. This is an expected result given Armenia’s low level of global financial integration. The</w:t>
      </w:r>
      <w:r w:rsidR="002F13F0">
        <w:rPr>
          <w:szCs w:val="24"/>
        </w:rPr>
        <w:t xml:space="preserve"> IRFs</w:t>
      </w:r>
      <w:r w:rsidRPr="00922244">
        <w:rPr>
          <w:szCs w:val="24"/>
        </w:rPr>
        <w:t xml:space="preserve"> also show that Armenia’s </w:t>
      </w:r>
      <w:r>
        <w:rPr>
          <w:szCs w:val="24"/>
        </w:rPr>
        <w:t>real</w:t>
      </w:r>
      <w:r w:rsidR="0001518F">
        <w:rPr>
          <w:szCs w:val="24"/>
        </w:rPr>
        <w:t xml:space="preserve"> GDP</w:t>
      </w:r>
      <w:r>
        <w:rPr>
          <w:szCs w:val="24"/>
        </w:rPr>
        <w:t xml:space="preserve"> </w:t>
      </w:r>
      <w:r w:rsidRPr="00922244">
        <w:rPr>
          <w:szCs w:val="24"/>
        </w:rPr>
        <w:t>growth</w:t>
      </w:r>
      <w:r>
        <w:rPr>
          <w:szCs w:val="24"/>
        </w:rPr>
        <w:t xml:space="preserve"> (non-agricultural)</w:t>
      </w:r>
      <w:r w:rsidRPr="00922244">
        <w:rPr>
          <w:szCs w:val="24"/>
        </w:rPr>
        <w:t xml:space="preserve"> exhibits a </w:t>
      </w:r>
      <w:r w:rsidR="00237F84">
        <w:rPr>
          <w:szCs w:val="24"/>
        </w:rPr>
        <w:t xml:space="preserve">relatively </w:t>
      </w:r>
      <w:r w:rsidRPr="00922244">
        <w:rPr>
          <w:szCs w:val="24"/>
        </w:rPr>
        <w:t xml:space="preserve">strong and long-lasting response to a positive world demand shock (Figure </w:t>
      </w:r>
      <w:r>
        <w:rPr>
          <w:szCs w:val="24"/>
        </w:rPr>
        <w:t>14</w:t>
      </w:r>
      <w:r w:rsidRPr="00922244">
        <w:rPr>
          <w:szCs w:val="24"/>
        </w:rPr>
        <w:t>, panel 2)</w:t>
      </w:r>
      <w:r w:rsidR="00F7674D">
        <w:rPr>
          <w:szCs w:val="24"/>
        </w:rPr>
        <w:t>, measured as a world demand growth rate that is one-standard deviation, or 0.2 percentage points, higher</w:t>
      </w:r>
      <w:r w:rsidRPr="00922244">
        <w:rPr>
          <w:szCs w:val="24"/>
        </w:rPr>
        <w:t>. Although the initial impact of global demand shocks is small (1 percentage point), its effects accumulate over time. After two years, Armenian’s response to</w:t>
      </w:r>
      <w:r w:rsidR="00620A52">
        <w:rPr>
          <w:szCs w:val="24"/>
        </w:rPr>
        <w:t xml:space="preserve"> a change in </w:t>
      </w:r>
      <w:r w:rsidRPr="00922244">
        <w:rPr>
          <w:szCs w:val="24"/>
        </w:rPr>
        <w:t xml:space="preserve">world demand growth is 3.9 percentage points. </w:t>
      </w:r>
      <w:r w:rsidR="00620A52">
        <w:rPr>
          <w:szCs w:val="24"/>
        </w:rPr>
        <w:t xml:space="preserve">This implies that </w:t>
      </w:r>
      <w:r w:rsidR="00CB49C3">
        <w:rPr>
          <w:szCs w:val="24"/>
        </w:rPr>
        <w:t xml:space="preserve">if </w:t>
      </w:r>
      <w:r w:rsidR="00620A52">
        <w:rPr>
          <w:szCs w:val="24"/>
        </w:rPr>
        <w:t xml:space="preserve">global demand growth </w:t>
      </w:r>
      <w:r w:rsidR="00CB49C3">
        <w:rPr>
          <w:szCs w:val="24"/>
        </w:rPr>
        <w:t>were</w:t>
      </w:r>
      <w:r w:rsidR="00620A52">
        <w:rPr>
          <w:szCs w:val="24"/>
        </w:rPr>
        <w:t xml:space="preserve"> higher by 0.2 percent</w:t>
      </w:r>
      <w:r w:rsidR="00CB49C3">
        <w:rPr>
          <w:szCs w:val="24"/>
        </w:rPr>
        <w:t>age points</w:t>
      </w:r>
      <w:r w:rsidR="00620A52">
        <w:rPr>
          <w:szCs w:val="24"/>
        </w:rPr>
        <w:t xml:space="preserve">, </w:t>
      </w:r>
      <w:r w:rsidR="00CB49C3">
        <w:rPr>
          <w:szCs w:val="24"/>
        </w:rPr>
        <w:t xml:space="preserve">the </w:t>
      </w:r>
      <w:r w:rsidR="00620A52">
        <w:rPr>
          <w:szCs w:val="24"/>
        </w:rPr>
        <w:t xml:space="preserve">growth </w:t>
      </w:r>
      <w:r w:rsidR="00CB49C3">
        <w:rPr>
          <w:szCs w:val="24"/>
        </w:rPr>
        <w:t xml:space="preserve">rate </w:t>
      </w:r>
      <w:r w:rsidR="00620A52">
        <w:rPr>
          <w:szCs w:val="24"/>
        </w:rPr>
        <w:t>of Armenia’s non-agricultur</w:t>
      </w:r>
      <w:r w:rsidR="00CB49C3">
        <w:rPr>
          <w:szCs w:val="24"/>
        </w:rPr>
        <w:t>al</w:t>
      </w:r>
      <w:r w:rsidR="00620A52">
        <w:rPr>
          <w:szCs w:val="24"/>
        </w:rPr>
        <w:t xml:space="preserve"> GDP would be 3.9 </w:t>
      </w:r>
      <w:r w:rsidR="00CB49C3">
        <w:rPr>
          <w:szCs w:val="24"/>
        </w:rPr>
        <w:t xml:space="preserve">percentage points </w:t>
      </w:r>
      <w:r w:rsidR="00620A52">
        <w:rPr>
          <w:szCs w:val="24"/>
        </w:rPr>
        <w:t>higher on a cumulative basis</w:t>
      </w:r>
      <w:r w:rsidR="00CB49C3">
        <w:rPr>
          <w:szCs w:val="24"/>
        </w:rPr>
        <w:t>,</w:t>
      </w:r>
      <w:r w:rsidR="00620A52">
        <w:rPr>
          <w:szCs w:val="24"/>
        </w:rPr>
        <w:t xml:space="preserve"> spread in 8 quarters (around 0.4-0.5 percentage point</w:t>
      </w:r>
      <w:r w:rsidR="00CB49C3">
        <w:rPr>
          <w:szCs w:val="24"/>
        </w:rPr>
        <w:t>s</w:t>
      </w:r>
      <w:r w:rsidR="00620A52">
        <w:rPr>
          <w:szCs w:val="24"/>
        </w:rPr>
        <w:t xml:space="preserve"> per quarter). </w:t>
      </w:r>
      <w:r w:rsidRPr="00922244">
        <w:rPr>
          <w:szCs w:val="24"/>
        </w:rPr>
        <w:t xml:space="preserve">This reflects the spillovers through trade, remittance, tourism, and FDI, and bank linkages, from </w:t>
      </w:r>
      <w:r w:rsidR="00237F84">
        <w:rPr>
          <w:szCs w:val="24"/>
        </w:rPr>
        <w:t xml:space="preserve">stronger (or weaker) </w:t>
      </w:r>
      <w:r w:rsidRPr="00922244">
        <w:rPr>
          <w:szCs w:val="24"/>
        </w:rPr>
        <w:t xml:space="preserve">growth in the </w:t>
      </w:r>
      <w:r>
        <w:rPr>
          <w:szCs w:val="24"/>
        </w:rPr>
        <w:t xml:space="preserve">EU </w:t>
      </w:r>
      <w:r w:rsidRPr="00922244">
        <w:rPr>
          <w:szCs w:val="24"/>
        </w:rPr>
        <w:t xml:space="preserve">and Russia, which are Armenia’s key trading partners and main sources of remittances and FDI. </w:t>
      </w:r>
    </w:p>
    <w:p w:rsidR="00B5207E" w:rsidRDefault="00B5207E" w:rsidP="00B5207E">
      <w:pPr>
        <w:tabs>
          <w:tab w:val="left" w:pos="0"/>
        </w:tabs>
        <w:autoSpaceDE w:val="0"/>
        <w:autoSpaceDN w:val="0"/>
        <w:adjustRightInd w:val="0"/>
        <w:rPr>
          <w:szCs w:val="24"/>
        </w:rPr>
      </w:pPr>
    </w:p>
    <w:p w:rsidR="00B5207E" w:rsidRPr="00621B88" w:rsidRDefault="00B5207E" w:rsidP="00B5207E">
      <w:pPr>
        <w:tabs>
          <w:tab w:val="left" w:pos="0"/>
        </w:tabs>
        <w:autoSpaceDE w:val="0"/>
        <w:autoSpaceDN w:val="0"/>
        <w:adjustRightInd w:val="0"/>
        <w:jc w:val="center"/>
        <w:rPr>
          <w:b/>
          <w:sz w:val="20"/>
        </w:rPr>
      </w:pPr>
      <w:r w:rsidRPr="00621B88">
        <w:rPr>
          <w:b/>
          <w:sz w:val="20"/>
        </w:rPr>
        <w:t>Figure 1</w:t>
      </w:r>
      <w:r>
        <w:rPr>
          <w:b/>
          <w:sz w:val="20"/>
        </w:rPr>
        <w:t>4</w:t>
      </w:r>
      <w:r w:rsidRPr="00621B88">
        <w:rPr>
          <w:b/>
          <w:sz w:val="20"/>
        </w:rPr>
        <w:t xml:space="preserve">: Cumulative Response of Armenian Real GDP Growth to </w:t>
      </w:r>
      <w:r>
        <w:rPr>
          <w:b/>
          <w:sz w:val="20"/>
        </w:rPr>
        <w:t xml:space="preserve">one </w:t>
      </w:r>
      <w:r w:rsidR="00780893">
        <w:rPr>
          <w:b/>
          <w:sz w:val="20"/>
        </w:rPr>
        <w:t>S</w:t>
      </w:r>
      <w:r w:rsidRPr="00621B88">
        <w:rPr>
          <w:b/>
          <w:sz w:val="20"/>
        </w:rPr>
        <w:t xml:space="preserve">tructural S.D. Innovation </w:t>
      </w:r>
    </w:p>
    <w:p w:rsidR="00B5207E" w:rsidRDefault="00BC129A" w:rsidP="00B5207E">
      <w:pPr>
        <w:tabs>
          <w:tab w:val="left" w:pos="0"/>
        </w:tabs>
        <w:autoSpaceDE w:val="0"/>
        <w:autoSpaceDN w:val="0"/>
        <w:adjustRightInd w:val="0"/>
        <w:jc w:val="both"/>
        <w:rPr>
          <w:noProof/>
          <w:szCs w:val="24"/>
        </w:rPr>
      </w:pPr>
      <w:r>
        <w:rPr>
          <w:rFonts w:ascii="GHEA Grapalat" w:hAnsi="GHEA Grapalat"/>
          <w:noProof/>
          <w:sz w:val="22"/>
          <w:szCs w:val="22"/>
        </w:rPr>
        <mc:AlternateContent>
          <mc:Choice Requires="wpg">
            <w:drawing>
              <wp:anchor distT="0" distB="0" distL="114300" distR="114300" simplePos="0" relativeHeight="251692032" behindDoc="0" locked="0" layoutInCell="1" allowOverlap="1">
                <wp:simplePos x="0" y="0"/>
                <wp:positionH relativeFrom="column">
                  <wp:posOffset>-27305</wp:posOffset>
                </wp:positionH>
                <wp:positionV relativeFrom="paragraph">
                  <wp:posOffset>103505</wp:posOffset>
                </wp:positionV>
                <wp:extent cx="5515610" cy="1664970"/>
                <wp:effectExtent l="0" t="0" r="8890" b="0"/>
                <wp:wrapNone/>
                <wp:docPr id="3"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5610" cy="1664970"/>
                          <a:chOff x="0" y="0"/>
                          <a:chExt cx="14073868" cy="2752725"/>
                        </a:xfrm>
                      </wpg:grpSpPr>
                      <wpg:graphicFrame>
                        <wpg:cNvPr id="44" name="Диаграмма 2"/>
                        <wpg:cNvFrPr/>
                        <wpg:xfrm>
                          <a:off x="0" y="0"/>
                          <a:ext cx="4593771" cy="2743200"/>
                        </wpg:xfrm>
                        <a:graphic>
                          <a:graphicData uri="http://schemas.openxmlformats.org/drawingml/2006/chart">
                            <c:chart xmlns:c="http://schemas.openxmlformats.org/drawingml/2006/chart" xmlns:r="http://schemas.openxmlformats.org/officeDocument/2006/relationships" r:id="rId93"/>
                          </a:graphicData>
                        </a:graphic>
                      </wpg:graphicFrame>
                      <wpg:graphicFrame>
                        <wpg:cNvPr id="45" name="Диаграмма 4"/>
                        <wpg:cNvFrPr/>
                        <wpg:xfrm>
                          <a:off x="4762500" y="9525"/>
                          <a:ext cx="4593771" cy="2743200"/>
                        </wpg:xfrm>
                        <a:graphic>
                          <a:graphicData uri="http://schemas.openxmlformats.org/drawingml/2006/chart">
                            <c:chart xmlns:c="http://schemas.openxmlformats.org/drawingml/2006/chart" xmlns:r="http://schemas.openxmlformats.org/officeDocument/2006/relationships" r:id="rId94"/>
                          </a:graphicData>
                        </a:graphic>
                      </wpg:graphicFrame>
                      <wpg:graphicFrame>
                        <wpg:cNvPr id="46" name="Диаграмма 5"/>
                        <wpg:cNvFrPr/>
                        <wpg:xfrm>
                          <a:off x="9480097" y="8165"/>
                          <a:ext cx="4593771" cy="2743200"/>
                        </wpg:xfrm>
                        <a:graphic>
                          <a:graphicData uri="http://schemas.openxmlformats.org/drawingml/2006/chart">
                            <c:chart xmlns:c="http://schemas.openxmlformats.org/drawingml/2006/chart" xmlns:r="http://schemas.openxmlformats.org/officeDocument/2006/relationships" r:id="rId95"/>
                          </a:graphicData>
                        </a:graphic>
                      </wpg:graphicFrame>
                    </wpg:wgp>
                  </a:graphicData>
                </a:graphic>
                <wp14:sizeRelH relativeFrom="margin">
                  <wp14:pctWidth>0</wp14:pctWidth>
                </wp14:sizeRelH>
                <wp14:sizeRelV relativeFrom="margin">
                  <wp14:pctHeight>0</wp14:pctHeight>
                </wp14:sizeRelV>
              </wp:anchor>
            </w:drawing>
          </mc:Choice>
          <mc:Fallback>
            <w:pict>
              <v:group id="Группа 6" o:spid="_x0000_s1026" style="position:absolute;margin-left:-2.15pt;margin-top:8.15pt;width:434.3pt;height:131.1pt;z-index:251692032;mso-width-relative:margin;mso-height-relative:margin" coordsize="140738,27527"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">
                <v:shape id="Диаграмма 2" o:spid="_x0000_s1027" type="#_x0000_t75" style="position:absolute;width:45886;height:274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">
                  <v:imagedata r:id="rId96" o:title=""/>
                  <o:lock v:ext="edit" aspectratio="f"/>
                </v:shape>
                <v:shape id="Диаграмма 4" o:spid="_x0000_s1028" type="#_x0000_t75" style="position:absolute;left:47597;width:46043;height:275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">
                  <v:imagedata r:id="rId97" o:title=""/>
                  <o:lock v:ext="edit" aspectratio="f"/>
                </v:shape>
                <v:shape id="Диаграмма 5" o:spid="_x0000_s1029" type="#_x0000_t75" style="position:absolute;left:94728;top:100;width:46043;height:274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">
                  <v:imagedata r:id="rId98" o:title=""/>
                  <o:lock v:ext="edit" aspectratio="f"/>
                </v:shape>
              </v:group>
            </w:pict>
          </mc:Fallback>
        </mc:AlternateContent>
      </w:r>
      <w:r w:rsidR="00B5207E" w:rsidRPr="00922244">
        <w:rPr>
          <w:noProof/>
          <w:szCs w:val="24"/>
        </w:rPr>
        <w:t xml:space="preserve"> </w:t>
      </w: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noProof/>
          <w:szCs w:val="24"/>
        </w:rPr>
      </w:pPr>
    </w:p>
    <w:p w:rsidR="00B5207E" w:rsidRDefault="00B5207E" w:rsidP="00B5207E">
      <w:pPr>
        <w:tabs>
          <w:tab w:val="left" w:pos="0"/>
        </w:tabs>
        <w:autoSpaceDE w:val="0"/>
        <w:autoSpaceDN w:val="0"/>
        <w:adjustRightInd w:val="0"/>
        <w:jc w:val="both"/>
        <w:rPr>
          <w:sz w:val="20"/>
        </w:rPr>
      </w:pPr>
      <w:r w:rsidRPr="001519B1">
        <w:rPr>
          <w:sz w:val="20"/>
        </w:rPr>
        <w:t>Source: Authors</w:t>
      </w:r>
      <w:r w:rsidR="00780893">
        <w:rPr>
          <w:sz w:val="20"/>
        </w:rPr>
        <w:t>’</w:t>
      </w:r>
      <w:r w:rsidRPr="001519B1">
        <w:rPr>
          <w:sz w:val="20"/>
        </w:rPr>
        <w:t xml:space="preserve"> estimates.</w:t>
      </w:r>
    </w:p>
    <w:p w:rsidR="00780893" w:rsidRDefault="00780893" w:rsidP="00B5207E">
      <w:pPr>
        <w:tabs>
          <w:tab w:val="left" w:pos="0"/>
        </w:tabs>
        <w:autoSpaceDE w:val="0"/>
        <w:autoSpaceDN w:val="0"/>
        <w:adjustRightInd w:val="0"/>
        <w:jc w:val="both"/>
        <w:rPr>
          <w:sz w:val="20"/>
        </w:rPr>
      </w:pPr>
    </w:p>
    <w:p w:rsidR="00B5207E" w:rsidRPr="00922244" w:rsidRDefault="00780893" w:rsidP="00B5207E">
      <w:pPr>
        <w:tabs>
          <w:tab w:val="left" w:pos="0"/>
        </w:tabs>
        <w:autoSpaceDE w:val="0"/>
        <w:autoSpaceDN w:val="0"/>
        <w:adjustRightInd w:val="0"/>
        <w:rPr>
          <w:szCs w:val="24"/>
        </w:rPr>
      </w:pPr>
      <w:r>
        <w:rPr>
          <w:szCs w:val="24"/>
        </w:rPr>
        <w:lastRenderedPageBreak/>
        <w:t>T</w:t>
      </w:r>
      <w:r w:rsidR="00B5207E" w:rsidRPr="00922244">
        <w:rPr>
          <w:szCs w:val="24"/>
        </w:rPr>
        <w:t>he I</w:t>
      </w:r>
      <w:r w:rsidR="0001518F">
        <w:rPr>
          <w:szCs w:val="24"/>
        </w:rPr>
        <w:t>RF</w:t>
      </w:r>
      <w:r w:rsidR="00B5207E" w:rsidRPr="00922244">
        <w:rPr>
          <w:szCs w:val="24"/>
        </w:rPr>
        <w:t xml:space="preserve">s show that an increase in international oil prices tends to produce a positive impact on Armenia’s </w:t>
      </w:r>
      <w:r w:rsidR="0001518F">
        <w:rPr>
          <w:szCs w:val="24"/>
        </w:rPr>
        <w:t xml:space="preserve">real </w:t>
      </w:r>
      <w:r w:rsidR="00B5207E" w:rsidRPr="00922244">
        <w:rPr>
          <w:szCs w:val="24"/>
        </w:rPr>
        <w:t>GDP growth</w:t>
      </w:r>
      <w:r>
        <w:rPr>
          <w:szCs w:val="24"/>
        </w:rPr>
        <w:t xml:space="preserve"> (non-agricultural)</w:t>
      </w:r>
      <w:r w:rsidR="00B5207E" w:rsidRPr="00922244">
        <w:rPr>
          <w:szCs w:val="24"/>
        </w:rPr>
        <w:t xml:space="preserve">. </w:t>
      </w:r>
      <w:r>
        <w:rPr>
          <w:szCs w:val="24"/>
        </w:rPr>
        <w:t>The i</w:t>
      </w:r>
      <w:r w:rsidR="00CB49C3">
        <w:rPr>
          <w:szCs w:val="24"/>
        </w:rPr>
        <w:t xml:space="preserve">nitial response to an </w:t>
      </w:r>
      <w:r w:rsidR="00F80C69">
        <w:rPr>
          <w:szCs w:val="24"/>
        </w:rPr>
        <w:t xml:space="preserve">upward </w:t>
      </w:r>
      <w:r w:rsidR="00B5207E" w:rsidRPr="00922244">
        <w:rPr>
          <w:szCs w:val="24"/>
        </w:rPr>
        <w:t xml:space="preserve">oil </w:t>
      </w:r>
      <w:r w:rsidR="00F80C69">
        <w:rPr>
          <w:szCs w:val="24"/>
        </w:rPr>
        <w:t xml:space="preserve">price </w:t>
      </w:r>
      <w:r w:rsidR="00B5207E" w:rsidRPr="00922244">
        <w:rPr>
          <w:szCs w:val="24"/>
        </w:rPr>
        <w:t>shock</w:t>
      </w:r>
      <w:r w:rsidR="00CB49C3">
        <w:rPr>
          <w:rStyle w:val="CommentReference"/>
        </w:rPr>
        <w:t xml:space="preserve">, </w:t>
      </w:r>
      <w:r w:rsidR="00CB49C3" w:rsidRPr="00CB49C3">
        <w:rPr>
          <w:szCs w:val="24"/>
        </w:rPr>
        <w:t xml:space="preserve">measured as </w:t>
      </w:r>
      <w:r w:rsidR="00CB49C3">
        <w:rPr>
          <w:szCs w:val="24"/>
        </w:rPr>
        <w:t xml:space="preserve">a one-standard deviation, </w:t>
      </w:r>
      <w:r w:rsidR="00B5207E" w:rsidRPr="00922244">
        <w:rPr>
          <w:szCs w:val="24"/>
        </w:rPr>
        <w:t xml:space="preserve">is </w:t>
      </w:r>
      <w:r w:rsidR="00F80C69">
        <w:rPr>
          <w:szCs w:val="24"/>
        </w:rPr>
        <w:t xml:space="preserve">a positive </w:t>
      </w:r>
      <w:r w:rsidR="00B5207E" w:rsidRPr="00922244">
        <w:rPr>
          <w:szCs w:val="24"/>
        </w:rPr>
        <w:t>0.5 percentage point</w:t>
      </w:r>
      <w:r w:rsidR="00C42C77">
        <w:rPr>
          <w:szCs w:val="24"/>
        </w:rPr>
        <w:t>s</w:t>
      </w:r>
      <w:r w:rsidR="00CB49C3">
        <w:rPr>
          <w:szCs w:val="24"/>
        </w:rPr>
        <w:t xml:space="preserve"> in the first quarter</w:t>
      </w:r>
      <w:r w:rsidR="00F80C69">
        <w:rPr>
          <w:szCs w:val="24"/>
        </w:rPr>
        <w:t xml:space="preserve">, rising to </w:t>
      </w:r>
      <w:r w:rsidR="00B5207E" w:rsidRPr="00922244">
        <w:rPr>
          <w:szCs w:val="24"/>
        </w:rPr>
        <w:t xml:space="preserve">almost </w:t>
      </w:r>
      <w:r w:rsidR="00F80C69">
        <w:rPr>
          <w:szCs w:val="24"/>
        </w:rPr>
        <w:t xml:space="preserve">a positive </w:t>
      </w:r>
      <w:r w:rsidR="00B5207E" w:rsidRPr="00922244">
        <w:rPr>
          <w:szCs w:val="24"/>
        </w:rPr>
        <w:t>4.4 percentage point</w:t>
      </w:r>
      <w:r>
        <w:rPr>
          <w:szCs w:val="24"/>
        </w:rPr>
        <w:t>s</w:t>
      </w:r>
      <w:r w:rsidR="00B5207E" w:rsidRPr="00922244">
        <w:rPr>
          <w:szCs w:val="24"/>
        </w:rPr>
        <w:t xml:space="preserve"> after two years (Figure </w:t>
      </w:r>
      <w:r w:rsidR="00B5207E">
        <w:rPr>
          <w:szCs w:val="24"/>
        </w:rPr>
        <w:t>1</w:t>
      </w:r>
      <w:r>
        <w:rPr>
          <w:szCs w:val="24"/>
        </w:rPr>
        <w:t>4</w:t>
      </w:r>
      <w:r w:rsidR="00B5207E" w:rsidRPr="00922244">
        <w:rPr>
          <w:szCs w:val="24"/>
        </w:rPr>
        <w:t xml:space="preserve">, panel 1). </w:t>
      </w:r>
      <w:r w:rsidR="00CB49C3">
        <w:rPr>
          <w:szCs w:val="24"/>
        </w:rPr>
        <w:t xml:space="preserve">This implies that if international prices changes were higher by 73 percentage points per quarter, the growth rate of Armenia’s non-agricultural GDP would be 4.4 percentage points higher on a cumulative basis spread in 8 quarters (around 0.5-0.6 percentage point per quarter). </w:t>
      </w:r>
      <w:r w:rsidR="00B5207E" w:rsidRPr="00922244">
        <w:rPr>
          <w:szCs w:val="24"/>
        </w:rPr>
        <w:t xml:space="preserve">This strong </w:t>
      </w:r>
      <w:r w:rsidR="00F80C69">
        <w:rPr>
          <w:szCs w:val="24"/>
        </w:rPr>
        <w:t xml:space="preserve">positive </w:t>
      </w:r>
      <w:r w:rsidR="00B5207E" w:rsidRPr="00922244">
        <w:rPr>
          <w:szCs w:val="24"/>
        </w:rPr>
        <w:t>response seem</w:t>
      </w:r>
      <w:r w:rsidR="00F80C69">
        <w:rPr>
          <w:szCs w:val="24"/>
        </w:rPr>
        <w:t>s</w:t>
      </w:r>
      <w:r w:rsidR="00B5207E" w:rsidRPr="00922244">
        <w:rPr>
          <w:szCs w:val="24"/>
        </w:rPr>
        <w:t xml:space="preserve"> counterintuitive, given Armenia’s high level of energy dependence and lack of oil reserves. </w:t>
      </w:r>
      <w:r>
        <w:rPr>
          <w:szCs w:val="24"/>
        </w:rPr>
        <w:t xml:space="preserve">Given that Armenia is an oil-importing country, </w:t>
      </w:r>
      <w:r w:rsidR="00502DD2">
        <w:rPr>
          <w:szCs w:val="24"/>
        </w:rPr>
        <w:t xml:space="preserve">one would expect that </w:t>
      </w:r>
      <w:r>
        <w:rPr>
          <w:szCs w:val="24"/>
        </w:rPr>
        <w:t>a</w:t>
      </w:r>
      <w:r w:rsidR="00B5207E" w:rsidRPr="00922244">
        <w:rPr>
          <w:szCs w:val="24"/>
        </w:rPr>
        <w:t xml:space="preserve">n increase in </w:t>
      </w:r>
      <w:r>
        <w:rPr>
          <w:szCs w:val="24"/>
        </w:rPr>
        <w:t>oil</w:t>
      </w:r>
      <w:r w:rsidR="00B5207E" w:rsidRPr="00922244">
        <w:rPr>
          <w:szCs w:val="24"/>
        </w:rPr>
        <w:t xml:space="preserve"> prices should have an adverse impact on growth. However, this is </w:t>
      </w:r>
      <w:r w:rsidR="00E22836">
        <w:rPr>
          <w:szCs w:val="24"/>
        </w:rPr>
        <w:t xml:space="preserve">more than offset </w:t>
      </w:r>
      <w:r w:rsidR="00B5207E" w:rsidRPr="00922244">
        <w:rPr>
          <w:szCs w:val="24"/>
        </w:rPr>
        <w:t xml:space="preserve">by two factors: (i) the positive impact that an increase in oil prices produces on Russian growth, and therefore </w:t>
      </w:r>
      <w:r>
        <w:rPr>
          <w:szCs w:val="24"/>
        </w:rPr>
        <w:t>o</w:t>
      </w:r>
      <w:r w:rsidR="00B5207E" w:rsidRPr="00922244">
        <w:rPr>
          <w:szCs w:val="24"/>
        </w:rPr>
        <w:t xml:space="preserve">n </w:t>
      </w:r>
      <w:r>
        <w:rPr>
          <w:szCs w:val="24"/>
        </w:rPr>
        <w:t>Armenian remittances</w:t>
      </w:r>
      <w:r w:rsidR="00E22836">
        <w:rPr>
          <w:szCs w:val="24"/>
        </w:rPr>
        <w:t xml:space="preserve">, exports and external borrowing </w:t>
      </w:r>
      <w:r>
        <w:rPr>
          <w:szCs w:val="24"/>
        </w:rPr>
        <w:t>originating in Russia</w:t>
      </w:r>
      <w:r w:rsidR="00B5207E" w:rsidRPr="00922244">
        <w:rPr>
          <w:szCs w:val="24"/>
        </w:rPr>
        <w:t xml:space="preserve">; and (ii) </w:t>
      </w:r>
      <w:r w:rsidR="00E22836">
        <w:rPr>
          <w:szCs w:val="24"/>
        </w:rPr>
        <w:t>Armenia’s relative isolation for a direct impact of changes in international oil prices</w:t>
      </w:r>
      <w:r w:rsidR="00CB49C3">
        <w:rPr>
          <w:szCs w:val="24"/>
        </w:rPr>
        <w:t>, as explained before</w:t>
      </w:r>
      <w:r w:rsidR="00E22836">
        <w:rPr>
          <w:szCs w:val="24"/>
        </w:rPr>
        <w:t xml:space="preserve">. </w:t>
      </w:r>
    </w:p>
    <w:p w:rsidR="00B5207E" w:rsidRPr="00922244" w:rsidRDefault="00B5207E" w:rsidP="00B5207E">
      <w:pPr>
        <w:tabs>
          <w:tab w:val="left" w:pos="0"/>
        </w:tabs>
        <w:autoSpaceDE w:val="0"/>
        <w:autoSpaceDN w:val="0"/>
        <w:adjustRightInd w:val="0"/>
        <w:jc w:val="both"/>
        <w:rPr>
          <w:szCs w:val="24"/>
        </w:rPr>
      </w:pPr>
    </w:p>
    <w:p w:rsidR="00B5207E" w:rsidRPr="00922244" w:rsidRDefault="00B5207E" w:rsidP="00780893">
      <w:pPr>
        <w:pStyle w:val="ListParagraph"/>
        <w:tabs>
          <w:tab w:val="left" w:pos="0"/>
        </w:tabs>
        <w:autoSpaceDE w:val="0"/>
        <w:autoSpaceDN w:val="0"/>
        <w:adjustRightInd w:val="0"/>
        <w:ind w:left="0"/>
        <w:jc w:val="both"/>
        <w:rPr>
          <w:b/>
          <w:i/>
          <w:szCs w:val="24"/>
        </w:rPr>
      </w:pPr>
      <w:r w:rsidRPr="00922244">
        <w:rPr>
          <w:b/>
          <w:i/>
          <w:szCs w:val="24"/>
        </w:rPr>
        <w:t xml:space="preserve">What are the geographical areas through which global shocks affect Armenian economy? </w:t>
      </w:r>
    </w:p>
    <w:p w:rsidR="00B5207E" w:rsidRPr="00922244" w:rsidRDefault="00B5207E" w:rsidP="00B5207E">
      <w:pPr>
        <w:pStyle w:val="ListParagraph"/>
        <w:tabs>
          <w:tab w:val="left" w:pos="0"/>
        </w:tabs>
        <w:autoSpaceDE w:val="0"/>
        <w:autoSpaceDN w:val="0"/>
        <w:adjustRightInd w:val="0"/>
        <w:ind w:left="0"/>
        <w:jc w:val="both"/>
        <w:rPr>
          <w:b/>
          <w:szCs w:val="24"/>
        </w:rPr>
      </w:pPr>
    </w:p>
    <w:p w:rsidR="00AF6676" w:rsidRPr="00922244" w:rsidRDefault="00B5207E" w:rsidP="00AF6676">
      <w:pPr>
        <w:tabs>
          <w:tab w:val="left" w:pos="0"/>
        </w:tabs>
        <w:autoSpaceDE w:val="0"/>
        <w:autoSpaceDN w:val="0"/>
        <w:adjustRightInd w:val="0"/>
        <w:rPr>
          <w:szCs w:val="24"/>
        </w:rPr>
      </w:pPr>
      <w:r w:rsidRPr="00922244">
        <w:rPr>
          <w:szCs w:val="24"/>
        </w:rPr>
        <w:t xml:space="preserve">To identify the contribution of different geographical areas to the impact of global shocks, we estimate </w:t>
      </w:r>
      <w:r w:rsidR="00AF6676">
        <w:rPr>
          <w:szCs w:val="24"/>
        </w:rPr>
        <w:t>an</w:t>
      </w:r>
      <w:r w:rsidRPr="00922244">
        <w:rPr>
          <w:szCs w:val="24"/>
        </w:rPr>
        <w:t xml:space="preserve"> </w:t>
      </w:r>
      <w:r w:rsidRPr="00922244">
        <w:rPr>
          <w:i/>
          <w:szCs w:val="24"/>
        </w:rPr>
        <w:t xml:space="preserve">augmented </w:t>
      </w:r>
      <w:r w:rsidRPr="00922244">
        <w:rPr>
          <w:szCs w:val="24"/>
        </w:rPr>
        <w:t xml:space="preserve">SVAR by including, </w:t>
      </w:r>
      <w:r w:rsidRPr="00C42C77">
        <w:rPr>
          <w:i/>
          <w:szCs w:val="24"/>
        </w:rPr>
        <w:t>one at time</w:t>
      </w:r>
      <w:r w:rsidRPr="00922244">
        <w:rPr>
          <w:szCs w:val="24"/>
        </w:rPr>
        <w:t>, the growth rates of Russian, EU and US real GDP. The</w:t>
      </w:r>
      <w:r w:rsidR="00C556B7">
        <w:rPr>
          <w:szCs w:val="24"/>
        </w:rPr>
        <w:t xml:space="preserve">n we estimate the </w:t>
      </w:r>
      <w:r w:rsidRPr="00922244">
        <w:rPr>
          <w:szCs w:val="24"/>
        </w:rPr>
        <w:t>different cont</w:t>
      </w:r>
      <w:r>
        <w:rPr>
          <w:szCs w:val="24"/>
        </w:rPr>
        <w:t>ributions</w:t>
      </w:r>
      <w:r w:rsidR="00C556B7">
        <w:rPr>
          <w:szCs w:val="24"/>
        </w:rPr>
        <w:t xml:space="preserve">, </w:t>
      </w:r>
      <w:r w:rsidR="00C556B7" w:rsidRPr="00922244">
        <w:rPr>
          <w:position w:val="-14"/>
          <w:szCs w:val="24"/>
        </w:rPr>
        <w:object w:dxaOrig="279" w:dyaOrig="380">
          <v:shape id="_x0000_i1051" type="#_x0000_t75" style="width:14.25pt;height:18.8pt" o:ole="">
            <v:imagedata r:id="rId69" o:title=""/>
          </v:shape>
          <o:OLEObject Type="Embed" ProgID="Equation.3" ShapeID="_x0000_i1051" DrawAspect="Content" ObjectID="_1492257030" r:id="rId99"/>
        </w:object>
      </w:r>
      <w:r w:rsidR="00C556B7">
        <w:rPr>
          <w:szCs w:val="24"/>
        </w:rPr>
        <w:t xml:space="preserve">, which </w:t>
      </w:r>
      <w:r>
        <w:rPr>
          <w:szCs w:val="24"/>
        </w:rPr>
        <w:t xml:space="preserve">are </w:t>
      </w:r>
      <w:r w:rsidR="003B7589">
        <w:rPr>
          <w:szCs w:val="24"/>
        </w:rPr>
        <w:t xml:space="preserve">shown </w:t>
      </w:r>
      <w:r>
        <w:rPr>
          <w:szCs w:val="24"/>
        </w:rPr>
        <w:t>in Figure 1</w:t>
      </w:r>
      <w:r w:rsidR="00AF6676">
        <w:rPr>
          <w:szCs w:val="24"/>
        </w:rPr>
        <w:t>5</w:t>
      </w:r>
      <w:r w:rsidRPr="00922244">
        <w:rPr>
          <w:szCs w:val="24"/>
        </w:rPr>
        <w:t xml:space="preserve">. </w:t>
      </w:r>
      <w:r w:rsidR="00C556B7">
        <w:rPr>
          <w:szCs w:val="24"/>
        </w:rPr>
        <w:t xml:space="preserve">As explained before, the contributions derived from each geographical area </w:t>
      </w:r>
      <w:r w:rsidR="00C556B7" w:rsidRPr="00C556B7">
        <w:rPr>
          <w:szCs w:val="24"/>
        </w:rPr>
        <w:t>should not be interpreted as a precise decomposition of the impulse r</w:t>
      </w:r>
      <w:r w:rsidR="00C556B7">
        <w:rPr>
          <w:szCs w:val="24"/>
        </w:rPr>
        <w:t xml:space="preserve">esponse under the baseline SVAR, but they can be used to assess their relative importance. </w:t>
      </w:r>
      <w:r w:rsidR="00AF6676" w:rsidRPr="00922244">
        <w:rPr>
          <w:szCs w:val="24"/>
        </w:rPr>
        <w:t xml:space="preserve">Results </w:t>
      </w:r>
      <w:r w:rsidR="003B7589">
        <w:rPr>
          <w:szCs w:val="24"/>
        </w:rPr>
        <w:t xml:space="preserve">indicate </w:t>
      </w:r>
      <w:r w:rsidR="00AF6676" w:rsidRPr="00922244">
        <w:rPr>
          <w:szCs w:val="24"/>
        </w:rPr>
        <w:t>that in the short-term, (i.e. two quarters) the contributions of EU and Russia</w:t>
      </w:r>
      <w:r w:rsidR="00AF6676">
        <w:rPr>
          <w:szCs w:val="24"/>
        </w:rPr>
        <w:t>n</w:t>
      </w:r>
      <w:r w:rsidR="00AF6676" w:rsidRPr="00922244">
        <w:rPr>
          <w:szCs w:val="24"/>
        </w:rPr>
        <w:t xml:space="preserve"> growth to Armenia’s GDP growth</w:t>
      </w:r>
      <w:r w:rsidR="00AF6676">
        <w:rPr>
          <w:szCs w:val="24"/>
        </w:rPr>
        <w:t xml:space="preserve"> (non-agricultural)</w:t>
      </w:r>
      <w:r w:rsidR="00AF6676" w:rsidRPr="00922244">
        <w:rPr>
          <w:szCs w:val="24"/>
        </w:rPr>
        <w:t xml:space="preserve"> are relatively similar in size.</w:t>
      </w:r>
      <w:r w:rsidR="00F7674D" w:rsidRPr="00F7674D">
        <w:t xml:space="preserve"> </w:t>
      </w:r>
      <w:r w:rsidR="00F7674D">
        <w:t xml:space="preserve">This could be interpreted as follows: when the growth rate of </w:t>
      </w:r>
      <w:r w:rsidR="00F7674D" w:rsidRPr="00F7674D">
        <w:rPr>
          <w:szCs w:val="24"/>
        </w:rPr>
        <w:t xml:space="preserve">global demand </w:t>
      </w:r>
      <w:r w:rsidR="00F7674D">
        <w:rPr>
          <w:szCs w:val="24"/>
        </w:rPr>
        <w:t>is higher by one-standard deviation, or 0.2 percentage points in one quarter, the total impact of Armenia’s growth rate (non-agriculture) could be split</w:t>
      </w:r>
      <w:r w:rsidR="005A59C0">
        <w:rPr>
          <w:szCs w:val="24"/>
        </w:rPr>
        <w:t>, approximately,</w:t>
      </w:r>
      <w:r w:rsidR="00F7674D">
        <w:rPr>
          <w:szCs w:val="24"/>
        </w:rPr>
        <w:t xml:space="preserve"> into 0.5 percentage point due to the EU and 0.5 percentage point to Russia, with negligible impact from other trading partners.</w:t>
      </w:r>
      <w:r w:rsidR="00AF6676" w:rsidRPr="00922244">
        <w:rPr>
          <w:szCs w:val="24"/>
        </w:rPr>
        <w:t xml:space="preserve"> </w:t>
      </w:r>
      <w:r w:rsidR="0098158E">
        <w:rPr>
          <w:szCs w:val="24"/>
        </w:rPr>
        <w:t xml:space="preserve">Over a period of 8 quarters, </w:t>
      </w:r>
      <w:r w:rsidR="0098158E" w:rsidRPr="00922244">
        <w:rPr>
          <w:szCs w:val="24"/>
        </w:rPr>
        <w:t xml:space="preserve">Russia’s contribution </w:t>
      </w:r>
      <w:r w:rsidR="0098158E">
        <w:rPr>
          <w:szCs w:val="24"/>
        </w:rPr>
        <w:t xml:space="preserve">to a global demand shocks </w:t>
      </w:r>
      <w:r w:rsidR="0098158E" w:rsidRPr="00922244">
        <w:rPr>
          <w:szCs w:val="24"/>
        </w:rPr>
        <w:t>is considerable larger, accounting for almost 70 percent of spillovers from global demand shocks, while the EU only account</w:t>
      </w:r>
      <w:r w:rsidR="0098158E">
        <w:rPr>
          <w:szCs w:val="24"/>
        </w:rPr>
        <w:t>s</w:t>
      </w:r>
      <w:r w:rsidR="0098158E" w:rsidRPr="00922244">
        <w:rPr>
          <w:szCs w:val="24"/>
        </w:rPr>
        <w:t xml:space="preserve"> for 21 percent and </w:t>
      </w:r>
      <w:r w:rsidR="0098158E">
        <w:rPr>
          <w:szCs w:val="24"/>
        </w:rPr>
        <w:t xml:space="preserve">the </w:t>
      </w:r>
      <w:r w:rsidR="0098158E" w:rsidRPr="00922244">
        <w:rPr>
          <w:szCs w:val="24"/>
        </w:rPr>
        <w:t xml:space="preserve">US </w:t>
      </w:r>
      <w:r w:rsidR="0098158E">
        <w:rPr>
          <w:szCs w:val="24"/>
        </w:rPr>
        <w:t xml:space="preserve">for only </w:t>
      </w:r>
      <w:r w:rsidR="0098158E" w:rsidRPr="00922244">
        <w:rPr>
          <w:szCs w:val="24"/>
        </w:rPr>
        <w:t>3 percent</w:t>
      </w:r>
      <w:r w:rsidR="0098158E">
        <w:rPr>
          <w:szCs w:val="24"/>
        </w:rPr>
        <w:t xml:space="preserve">. In other words, </w:t>
      </w:r>
      <w:r w:rsidR="006E16B5">
        <w:rPr>
          <w:szCs w:val="24"/>
        </w:rPr>
        <w:t xml:space="preserve">if global </w:t>
      </w:r>
      <w:r w:rsidR="006E16B5" w:rsidRPr="006E16B5">
        <w:rPr>
          <w:szCs w:val="24"/>
        </w:rPr>
        <w:t>demand growth were higher by 0.2 per</w:t>
      </w:r>
      <w:r w:rsidR="006E16B5">
        <w:rPr>
          <w:szCs w:val="24"/>
        </w:rPr>
        <w:t xml:space="preserve">centage points per quarter, the </w:t>
      </w:r>
      <w:r w:rsidR="0098158E" w:rsidRPr="006E16B5">
        <w:rPr>
          <w:szCs w:val="24"/>
        </w:rPr>
        <w:t>3.9 percentage points</w:t>
      </w:r>
      <w:r w:rsidR="0098158E">
        <w:rPr>
          <w:szCs w:val="24"/>
        </w:rPr>
        <w:t xml:space="preserve"> </w:t>
      </w:r>
      <w:r w:rsidR="006E16B5">
        <w:rPr>
          <w:szCs w:val="24"/>
        </w:rPr>
        <w:t>impact</w:t>
      </w:r>
      <w:r w:rsidR="0098158E">
        <w:rPr>
          <w:szCs w:val="24"/>
        </w:rPr>
        <w:t>,</w:t>
      </w:r>
      <w:r w:rsidR="006E16B5">
        <w:rPr>
          <w:szCs w:val="24"/>
        </w:rPr>
        <w:t xml:space="preserve"> </w:t>
      </w:r>
      <w:r w:rsidR="0098158E">
        <w:rPr>
          <w:szCs w:val="24"/>
        </w:rPr>
        <w:t xml:space="preserve">cumulative over a period of 8 quarters, </w:t>
      </w:r>
      <w:r w:rsidR="006E16B5">
        <w:rPr>
          <w:szCs w:val="24"/>
        </w:rPr>
        <w:t xml:space="preserve">on Armenia </w:t>
      </w:r>
      <w:r w:rsidR="006E16B5" w:rsidRPr="006E16B5">
        <w:rPr>
          <w:szCs w:val="24"/>
        </w:rPr>
        <w:t xml:space="preserve">growth rate </w:t>
      </w:r>
      <w:r w:rsidR="006E16B5">
        <w:rPr>
          <w:szCs w:val="24"/>
        </w:rPr>
        <w:t>of, could be split</w:t>
      </w:r>
      <w:r w:rsidR="005A59C0">
        <w:rPr>
          <w:szCs w:val="24"/>
        </w:rPr>
        <w:t>, on an approximated way,</w:t>
      </w:r>
      <w:r w:rsidR="006E16B5">
        <w:rPr>
          <w:szCs w:val="24"/>
        </w:rPr>
        <w:t xml:space="preserve"> into 2.7 percentage points derived from Russia (0.3 percentage points per quarter) and 0.8 percentage points derived from the EU (0.1 percentage points per quarter)</w:t>
      </w:r>
      <w:r w:rsidR="00AF6676" w:rsidRPr="00922244">
        <w:rPr>
          <w:szCs w:val="24"/>
        </w:rPr>
        <w:t>.</w:t>
      </w:r>
    </w:p>
    <w:p w:rsidR="00B5207E" w:rsidRDefault="00B5207E" w:rsidP="00B5207E">
      <w:pPr>
        <w:tabs>
          <w:tab w:val="left" w:pos="0"/>
        </w:tabs>
        <w:autoSpaceDE w:val="0"/>
        <w:autoSpaceDN w:val="0"/>
        <w:adjustRightInd w:val="0"/>
        <w:rPr>
          <w:szCs w:val="24"/>
        </w:rPr>
      </w:pPr>
    </w:p>
    <w:p w:rsidR="0039665F" w:rsidRPr="00922244" w:rsidRDefault="0039665F" w:rsidP="0039665F">
      <w:pPr>
        <w:pStyle w:val="ListParagraph"/>
        <w:tabs>
          <w:tab w:val="left" w:pos="0"/>
        </w:tabs>
        <w:autoSpaceDE w:val="0"/>
        <w:autoSpaceDN w:val="0"/>
        <w:adjustRightInd w:val="0"/>
        <w:ind w:left="0"/>
        <w:jc w:val="both"/>
        <w:rPr>
          <w:b/>
          <w:i/>
          <w:szCs w:val="24"/>
        </w:rPr>
      </w:pPr>
      <w:r w:rsidRPr="00922244">
        <w:rPr>
          <w:b/>
          <w:i/>
          <w:szCs w:val="24"/>
        </w:rPr>
        <w:t xml:space="preserve">What were the transmission channels through which global shocks impact Armenia? </w:t>
      </w:r>
    </w:p>
    <w:p w:rsidR="0039665F" w:rsidRPr="00922244" w:rsidRDefault="0039665F" w:rsidP="0039665F">
      <w:pPr>
        <w:tabs>
          <w:tab w:val="left" w:pos="0"/>
        </w:tabs>
        <w:autoSpaceDE w:val="0"/>
        <w:autoSpaceDN w:val="0"/>
        <w:adjustRightInd w:val="0"/>
        <w:jc w:val="both"/>
        <w:rPr>
          <w:i/>
          <w:szCs w:val="24"/>
        </w:rPr>
      </w:pPr>
    </w:p>
    <w:p w:rsidR="00AA511B" w:rsidRPr="00306BC8" w:rsidRDefault="006E16B5" w:rsidP="00B5207E">
      <w:pPr>
        <w:tabs>
          <w:tab w:val="left" w:pos="0"/>
        </w:tabs>
        <w:autoSpaceDE w:val="0"/>
        <w:autoSpaceDN w:val="0"/>
        <w:adjustRightInd w:val="0"/>
        <w:rPr>
          <w:szCs w:val="24"/>
        </w:rPr>
      </w:pPr>
      <w:r>
        <w:rPr>
          <w:szCs w:val="24"/>
        </w:rPr>
        <w:t>To i</w:t>
      </w:r>
      <w:r w:rsidR="0039665F" w:rsidRPr="00922244">
        <w:rPr>
          <w:szCs w:val="24"/>
        </w:rPr>
        <w:t xml:space="preserve">dentify the contribution of different transmission channels to the impact of </w:t>
      </w:r>
      <w:r w:rsidR="009F2B63">
        <w:rPr>
          <w:szCs w:val="24"/>
        </w:rPr>
        <w:t xml:space="preserve">a </w:t>
      </w:r>
      <w:r w:rsidR="0039665F" w:rsidRPr="00922244">
        <w:rPr>
          <w:szCs w:val="24"/>
        </w:rPr>
        <w:t>global demand shock on Armenia’s GDP growth</w:t>
      </w:r>
      <w:r w:rsidR="009F2B63">
        <w:rPr>
          <w:szCs w:val="24"/>
        </w:rPr>
        <w:t xml:space="preserve">, </w:t>
      </w:r>
      <w:r w:rsidR="0039665F" w:rsidRPr="00922244">
        <w:rPr>
          <w:szCs w:val="24"/>
        </w:rPr>
        <w:t xml:space="preserve">we estimate the </w:t>
      </w:r>
      <w:r w:rsidR="0039665F" w:rsidRPr="00922244">
        <w:rPr>
          <w:i/>
          <w:szCs w:val="24"/>
        </w:rPr>
        <w:t xml:space="preserve">augmented </w:t>
      </w:r>
      <w:r w:rsidR="0039665F" w:rsidRPr="00922244">
        <w:rPr>
          <w:szCs w:val="24"/>
        </w:rPr>
        <w:t xml:space="preserve">SVAR including </w:t>
      </w:r>
      <w:r w:rsidR="0039665F" w:rsidRPr="00C42C77">
        <w:rPr>
          <w:i/>
          <w:szCs w:val="24"/>
        </w:rPr>
        <w:t>one at a time</w:t>
      </w:r>
      <w:r w:rsidR="0039665F" w:rsidRPr="00922244">
        <w:rPr>
          <w:szCs w:val="24"/>
        </w:rPr>
        <w:t xml:space="preserve"> data on trade, tourism, remittances and external borrowing, as exogenous variables in separate SVAR runs. </w:t>
      </w:r>
    </w:p>
    <w:p w:rsidR="00306BC8" w:rsidRPr="00306BC8" w:rsidRDefault="00306BC8" w:rsidP="00B5207E">
      <w:pPr>
        <w:tabs>
          <w:tab w:val="left" w:pos="0"/>
        </w:tabs>
        <w:autoSpaceDE w:val="0"/>
        <w:autoSpaceDN w:val="0"/>
        <w:adjustRightInd w:val="0"/>
        <w:rPr>
          <w:szCs w:val="24"/>
        </w:rPr>
      </w:pPr>
    </w:p>
    <w:p w:rsidR="00BD3BCF" w:rsidRDefault="00B5207E" w:rsidP="00642AF5">
      <w:pPr>
        <w:tabs>
          <w:tab w:val="left" w:pos="0"/>
        </w:tabs>
        <w:autoSpaceDE w:val="0"/>
        <w:autoSpaceDN w:val="0"/>
        <w:adjustRightInd w:val="0"/>
        <w:jc w:val="center"/>
        <w:rPr>
          <w:b/>
          <w:bCs/>
          <w:sz w:val="20"/>
        </w:rPr>
      </w:pPr>
      <w:r w:rsidRPr="00532999">
        <w:rPr>
          <w:b/>
          <w:bCs/>
          <w:sz w:val="20"/>
        </w:rPr>
        <w:t>Figure 1</w:t>
      </w:r>
      <w:r w:rsidR="00AF6676">
        <w:rPr>
          <w:b/>
          <w:bCs/>
          <w:sz w:val="20"/>
        </w:rPr>
        <w:t>5</w:t>
      </w:r>
      <w:r w:rsidRPr="00532999">
        <w:rPr>
          <w:b/>
          <w:bCs/>
          <w:sz w:val="20"/>
        </w:rPr>
        <w:t xml:space="preserve">: </w:t>
      </w:r>
      <w:r w:rsidR="00BD3BCF">
        <w:rPr>
          <w:b/>
          <w:bCs/>
          <w:sz w:val="20"/>
        </w:rPr>
        <w:t xml:space="preserve"> </w:t>
      </w:r>
      <w:r w:rsidR="00BD3BCF" w:rsidRPr="00BD3BCF">
        <w:rPr>
          <w:b/>
          <w:sz w:val="20"/>
        </w:rPr>
        <w:t xml:space="preserve">Decomposition of Spillovers by </w:t>
      </w:r>
      <w:r w:rsidR="00BD3BCF">
        <w:rPr>
          <w:b/>
          <w:sz w:val="20"/>
        </w:rPr>
        <w:t xml:space="preserve">Main </w:t>
      </w:r>
      <w:r w:rsidR="00642AF5" w:rsidRPr="00642AF5">
        <w:rPr>
          <w:b/>
          <w:bCs/>
          <w:sz w:val="20"/>
        </w:rPr>
        <w:t>Trading Partners</w:t>
      </w:r>
      <w:r w:rsidR="00BD3BCF">
        <w:rPr>
          <w:b/>
          <w:bCs/>
          <w:sz w:val="20"/>
        </w:rPr>
        <w:t>:</w:t>
      </w:r>
      <w:r w:rsidR="00642AF5" w:rsidRPr="00642AF5">
        <w:rPr>
          <w:b/>
          <w:bCs/>
          <w:sz w:val="20"/>
        </w:rPr>
        <w:t xml:space="preserve"> </w:t>
      </w:r>
    </w:p>
    <w:p w:rsidR="00BD3BCF" w:rsidRPr="00BD3BCF" w:rsidRDefault="00642AF5" w:rsidP="00BD3BCF">
      <w:pPr>
        <w:tabs>
          <w:tab w:val="left" w:pos="0"/>
        </w:tabs>
        <w:autoSpaceDE w:val="0"/>
        <w:autoSpaceDN w:val="0"/>
        <w:adjustRightInd w:val="0"/>
        <w:spacing w:after="120"/>
        <w:jc w:val="center"/>
        <w:rPr>
          <w:b/>
          <w:sz w:val="20"/>
        </w:rPr>
      </w:pPr>
      <w:r w:rsidRPr="00642AF5">
        <w:rPr>
          <w:b/>
          <w:bCs/>
          <w:sz w:val="20"/>
        </w:rPr>
        <w:t xml:space="preserve">Cumulative Response of Armenian GDP Growth </w:t>
      </w:r>
      <w:r w:rsidR="00BD3BCF" w:rsidRPr="00BD3BCF">
        <w:rPr>
          <w:b/>
          <w:sz w:val="20"/>
        </w:rPr>
        <w:t>to a World Demand Shock</w:t>
      </w:r>
    </w:p>
    <w:p w:rsidR="00BD3BCF" w:rsidRDefault="00BD3BCF" w:rsidP="00642AF5">
      <w:pPr>
        <w:tabs>
          <w:tab w:val="left" w:pos="0"/>
        </w:tabs>
        <w:autoSpaceDE w:val="0"/>
        <w:autoSpaceDN w:val="0"/>
        <w:adjustRightInd w:val="0"/>
        <w:jc w:val="center"/>
        <w:rPr>
          <w:b/>
          <w:bCs/>
          <w:sz w:val="20"/>
        </w:rPr>
      </w:pPr>
      <w:r>
        <w:rPr>
          <w:noProof/>
        </w:rPr>
        <w:lastRenderedPageBreak/>
        <w:drawing>
          <wp:inline distT="0" distB="0" distL="0" distR="0">
            <wp:extent cx="5766319" cy="2528596"/>
            <wp:effectExtent l="0" t="0" r="6350"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D3BCF" w:rsidRDefault="00BD3BCF" w:rsidP="00642AF5">
      <w:pPr>
        <w:tabs>
          <w:tab w:val="left" w:pos="0"/>
        </w:tabs>
        <w:autoSpaceDE w:val="0"/>
        <w:autoSpaceDN w:val="0"/>
        <w:adjustRightInd w:val="0"/>
        <w:jc w:val="center"/>
        <w:rPr>
          <w:b/>
          <w:bCs/>
          <w:sz w:val="20"/>
        </w:rPr>
      </w:pPr>
    </w:p>
    <w:p w:rsidR="00B5207E" w:rsidRDefault="00B5207E" w:rsidP="00B5207E">
      <w:pPr>
        <w:tabs>
          <w:tab w:val="left" w:pos="0"/>
        </w:tabs>
        <w:autoSpaceDE w:val="0"/>
        <w:autoSpaceDN w:val="0"/>
        <w:adjustRightInd w:val="0"/>
        <w:rPr>
          <w:szCs w:val="24"/>
        </w:rPr>
      </w:pPr>
      <w:r w:rsidRPr="00532999">
        <w:rPr>
          <w:sz w:val="20"/>
        </w:rPr>
        <w:t>Source: Authors</w:t>
      </w:r>
      <w:r w:rsidR="0001518F">
        <w:rPr>
          <w:sz w:val="20"/>
        </w:rPr>
        <w:t>’</w:t>
      </w:r>
      <w:r w:rsidRPr="00532999">
        <w:rPr>
          <w:sz w:val="20"/>
        </w:rPr>
        <w:t xml:space="preserve"> calculations</w:t>
      </w:r>
      <w:r w:rsidRPr="00922244">
        <w:rPr>
          <w:szCs w:val="24"/>
        </w:rPr>
        <w:t>.</w:t>
      </w:r>
    </w:p>
    <w:p w:rsidR="00EE63DC" w:rsidRPr="00532999" w:rsidRDefault="00EE63DC" w:rsidP="00B5207E">
      <w:pPr>
        <w:tabs>
          <w:tab w:val="left" w:pos="0"/>
        </w:tabs>
        <w:autoSpaceDE w:val="0"/>
        <w:autoSpaceDN w:val="0"/>
        <w:adjustRightInd w:val="0"/>
        <w:rPr>
          <w:b/>
          <w:bCs/>
          <w:sz w:val="20"/>
        </w:rPr>
      </w:pPr>
    </w:p>
    <w:p w:rsidR="005A59C0" w:rsidRDefault="00EE63DC" w:rsidP="00B5207E">
      <w:pPr>
        <w:tabs>
          <w:tab w:val="left" w:pos="0"/>
        </w:tabs>
        <w:autoSpaceDE w:val="0"/>
        <w:autoSpaceDN w:val="0"/>
        <w:adjustRightInd w:val="0"/>
        <w:rPr>
          <w:szCs w:val="24"/>
        </w:rPr>
      </w:pPr>
      <w:r w:rsidRPr="00922244">
        <w:rPr>
          <w:szCs w:val="24"/>
        </w:rPr>
        <w:t xml:space="preserve">The results in Figure </w:t>
      </w:r>
      <w:r>
        <w:rPr>
          <w:szCs w:val="24"/>
        </w:rPr>
        <w:t>16</w:t>
      </w:r>
      <w:r w:rsidRPr="00922244">
        <w:rPr>
          <w:szCs w:val="24"/>
        </w:rPr>
        <w:t xml:space="preserve"> show that both remittances and external borrowing account for the largest shares of the total impact of global GDP shocks. The two channels are responsible for the transmission of 28 percent and 31 percent, respectively, of the spillovers from global GDP shocks, while exports and tourism have smaller contributions in the range of 10 percent.</w:t>
      </w:r>
      <w:r w:rsidR="006E16B5">
        <w:rPr>
          <w:szCs w:val="24"/>
        </w:rPr>
        <w:t xml:space="preserve"> This could be interpreted as follows: if </w:t>
      </w:r>
      <w:r w:rsidR="006E16B5" w:rsidRPr="006E16B5">
        <w:rPr>
          <w:szCs w:val="24"/>
        </w:rPr>
        <w:t>global demand growth were higher by 0.2 percentage points per quarter, the growth rate of Armenia’s non-agricultural GDP would be 3.9 percentage points higher on a cumulative basis, spread in 8 quarters (around 0.4-0.5 percentage points per quarter).</w:t>
      </w:r>
      <w:r w:rsidR="005A59C0">
        <w:rPr>
          <w:szCs w:val="24"/>
        </w:rPr>
        <w:t xml:space="preserve"> Remittances would explain 1.1 percentage points out of the 3.9 percentage points for the 8 quarters while external borrowing would explain another 2.1 percentage points, while exports and tourism would account for 0.4 percentage points each.</w:t>
      </w:r>
      <w:r w:rsidR="005A59C0" w:rsidRPr="005A59C0">
        <w:rPr>
          <w:szCs w:val="24"/>
        </w:rPr>
        <w:t xml:space="preserve"> </w:t>
      </w:r>
      <w:r w:rsidR="005A59C0" w:rsidRPr="00922244">
        <w:rPr>
          <w:szCs w:val="24"/>
        </w:rPr>
        <w:t>The impact of remittances and external borrowing are particularly important over the longer terms, after one year or beyond.</w:t>
      </w:r>
    </w:p>
    <w:p w:rsidR="00EE63DC" w:rsidRDefault="00EE63DC" w:rsidP="00B5207E">
      <w:pPr>
        <w:tabs>
          <w:tab w:val="left" w:pos="0"/>
        </w:tabs>
        <w:autoSpaceDE w:val="0"/>
        <w:autoSpaceDN w:val="0"/>
        <w:adjustRightInd w:val="0"/>
        <w:jc w:val="center"/>
        <w:rPr>
          <w:b/>
          <w:bCs/>
          <w:sz w:val="20"/>
        </w:rPr>
      </w:pPr>
    </w:p>
    <w:p w:rsidR="00BD3BCF" w:rsidRDefault="00B5207E" w:rsidP="00B5207E">
      <w:pPr>
        <w:tabs>
          <w:tab w:val="left" w:pos="0"/>
        </w:tabs>
        <w:autoSpaceDE w:val="0"/>
        <w:autoSpaceDN w:val="0"/>
        <w:adjustRightInd w:val="0"/>
        <w:jc w:val="center"/>
        <w:rPr>
          <w:b/>
          <w:bCs/>
          <w:sz w:val="20"/>
        </w:rPr>
      </w:pPr>
      <w:r w:rsidRPr="00532999">
        <w:rPr>
          <w:b/>
          <w:bCs/>
          <w:sz w:val="20"/>
        </w:rPr>
        <w:t>Figure 1</w:t>
      </w:r>
      <w:r w:rsidR="00AF6676">
        <w:rPr>
          <w:b/>
          <w:bCs/>
          <w:sz w:val="20"/>
        </w:rPr>
        <w:t>6</w:t>
      </w:r>
      <w:r w:rsidRPr="00532999">
        <w:rPr>
          <w:b/>
          <w:bCs/>
          <w:sz w:val="20"/>
        </w:rPr>
        <w:t xml:space="preserve">: </w:t>
      </w:r>
      <w:r w:rsidR="00BD3BCF" w:rsidRPr="00BD3BCF">
        <w:rPr>
          <w:b/>
          <w:sz w:val="20"/>
        </w:rPr>
        <w:t xml:space="preserve">Decomposition of Spillovers by Transmission Channels: </w:t>
      </w:r>
    </w:p>
    <w:p w:rsidR="00BD3BCF" w:rsidRPr="00BD3BCF" w:rsidRDefault="00B5207E" w:rsidP="00BD3BCF">
      <w:pPr>
        <w:tabs>
          <w:tab w:val="left" w:pos="0"/>
        </w:tabs>
        <w:autoSpaceDE w:val="0"/>
        <w:autoSpaceDN w:val="0"/>
        <w:adjustRightInd w:val="0"/>
        <w:spacing w:after="120"/>
        <w:jc w:val="center"/>
        <w:rPr>
          <w:b/>
          <w:sz w:val="20"/>
        </w:rPr>
      </w:pPr>
      <w:r w:rsidRPr="00532999">
        <w:rPr>
          <w:b/>
          <w:bCs/>
          <w:sz w:val="20"/>
        </w:rPr>
        <w:t xml:space="preserve">Cumulative Response of Armenian GDP Growth to </w:t>
      </w:r>
      <w:r w:rsidR="00BD3BCF" w:rsidRPr="00BD3BCF">
        <w:rPr>
          <w:b/>
          <w:sz w:val="20"/>
        </w:rPr>
        <w:t>a World Demand Shock</w:t>
      </w:r>
    </w:p>
    <w:p w:rsidR="00BD3BCF" w:rsidRPr="00532999" w:rsidRDefault="00BD3BCF" w:rsidP="00B5207E">
      <w:pPr>
        <w:tabs>
          <w:tab w:val="left" w:pos="0"/>
        </w:tabs>
        <w:autoSpaceDE w:val="0"/>
        <w:autoSpaceDN w:val="0"/>
        <w:adjustRightInd w:val="0"/>
        <w:jc w:val="center"/>
        <w:rPr>
          <w:sz w:val="20"/>
        </w:rPr>
      </w:pPr>
      <w:r>
        <w:rPr>
          <w:noProof/>
        </w:rPr>
        <w:drawing>
          <wp:inline distT="0" distB="0" distL="0" distR="0">
            <wp:extent cx="5593492" cy="245106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5207E" w:rsidRPr="00922244" w:rsidRDefault="00B5207E" w:rsidP="00B5207E">
      <w:pPr>
        <w:tabs>
          <w:tab w:val="left" w:pos="0"/>
        </w:tabs>
        <w:autoSpaceDE w:val="0"/>
        <w:autoSpaceDN w:val="0"/>
        <w:adjustRightInd w:val="0"/>
        <w:rPr>
          <w:szCs w:val="24"/>
        </w:rPr>
      </w:pPr>
    </w:p>
    <w:p w:rsidR="00B5207E" w:rsidRPr="00532999" w:rsidRDefault="00B5207E" w:rsidP="00B5207E">
      <w:pPr>
        <w:tabs>
          <w:tab w:val="left" w:pos="0"/>
        </w:tabs>
        <w:autoSpaceDE w:val="0"/>
        <w:autoSpaceDN w:val="0"/>
        <w:adjustRightInd w:val="0"/>
        <w:jc w:val="both"/>
        <w:rPr>
          <w:sz w:val="20"/>
        </w:rPr>
      </w:pPr>
      <w:r w:rsidRPr="00532999">
        <w:rPr>
          <w:sz w:val="20"/>
        </w:rPr>
        <w:t>Source: Authors</w:t>
      </w:r>
      <w:r w:rsidR="0001518F">
        <w:rPr>
          <w:sz w:val="20"/>
        </w:rPr>
        <w:t>’</w:t>
      </w:r>
      <w:r w:rsidRPr="00532999">
        <w:rPr>
          <w:sz w:val="20"/>
        </w:rPr>
        <w:t xml:space="preserve"> calculations.</w:t>
      </w:r>
    </w:p>
    <w:p w:rsidR="00B5207E" w:rsidRPr="00922244" w:rsidRDefault="00B5207E" w:rsidP="00B5207E">
      <w:pPr>
        <w:tabs>
          <w:tab w:val="left" w:pos="0"/>
        </w:tabs>
        <w:autoSpaceDE w:val="0"/>
        <w:autoSpaceDN w:val="0"/>
        <w:adjustRightInd w:val="0"/>
        <w:jc w:val="both"/>
        <w:rPr>
          <w:szCs w:val="24"/>
        </w:rPr>
      </w:pPr>
    </w:p>
    <w:p w:rsidR="00B5207E" w:rsidRDefault="00B5207E" w:rsidP="00B5207E">
      <w:pPr>
        <w:tabs>
          <w:tab w:val="left" w:pos="0"/>
        </w:tabs>
        <w:autoSpaceDE w:val="0"/>
        <w:autoSpaceDN w:val="0"/>
        <w:adjustRightInd w:val="0"/>
        <w:rPr>
          <w:szCs w:val="24"/>
        </w:rPr>
      </w:pPr>
    </w:p>
    <w:p w:rsidR="00B5207E" w:rsidRPr="00922244" w:rsidRDefault="00B5207E" w:rsidP="003A6A25">
      <w:pPr>
        <w:pStyle w:val="ListParagraph"/>
        <w:tabs>
          <w:tab w:val="left" w:pos="0"/>
        </w:tabs>
        <w:autoSpaceDE w:val="0"/>
        <w:autoSpaceDN w:val="0"/>
        <w:adjustRightInd w:val="0"/>
        <w:ind w:left="0"/>
        <w:jc w:val="both"/>
        <w:rPr>
          <w:b/>
          <w:i/>
          <w:szCs w:val="24"/>
        </w:rPr>
      </w:pPr>
      <w:r w:rsidRPr="00922244">
        <w:rPr>
          <w:b/>
          <w:i/>
          <w:szCs w:val="24"/>
        </w:rPr>
        <w:t xml:space="preserve">What are the Armenian economic activities that are </w:t>
      </w:r>
      <w:r w:rsidR="00AF6676">
        <w:rPr>
          <w:b/>
          <w:i/>
          <w:szCs w:val="24"/>
        </w:rPr>
        <w:t xml:space="preserve">affected the </w:t>
      </w:r>
      <w:r w:rsidRPr="00922244">
        <w:rPr>
          <w:b/>
          <w:i/>
          <w:szCs w:val="24"/>
        </w:rPr>
        <w:t>most</w:t>
      </w:r>
      <w:r w:rsidR="00AF6676">
        <w:rPr>
          <w:b/>
          <w:i/>
          <w:szCs w:val="24"/>
        </w:rPr>
        <w:t xml:space="preserve"> </w:t>
      </w:r>
      <w:r w:rsidRPr="00922244">
        <w:rPr>
          <w:b/>
          <w:i/>
          <w:szCs w:val="24"/>
        </w:rPr>
        <w:t>by global and regional spillovers?</w:t>
      </w:r>
    </w:p>
    <w:p w:rsidR="00B5207E" w:rsidRDefault="00B5207E" w:rsidP="00B5207E">
      <w:pPr>
        <w:tabs>
          <w:tab w:val="left" w:pos="0"/>
        </w:tabs>
        <w:autoSpaceDE w:val="0"/>
        <w:autoSpaceDN w:val="0"/>
        <w:adjustRightInd w:val="0"/>
        <w:jc w:val="both"/>
        <w:rPr>
          <w:szCs w:val="24"/>
        </w:rPr>
      </w:pPr>
    </w:p>
    <w:p w:rsidR="00B5207E" w:rsidRDefault="00B5207E" w:rsidP="00B5207E">
      <w:pPr>
        <w:tabs>
          <w:tab w:val="left" w:pos="0"/>
        </w:tabs>
        <w:autoSpaceDE w:val="0"/>
        <w:autoSpaceDN w:val="0"/>
        <w:adjustRightInd w:val="0"/>
        <w:spacing w:after="120"/>
        <w:rPr>
          <w:szCs w:val="24"/>
        </w:rPr>
      </w:pPr>
      <w:r w:rsidRPr="00922244">
        <w:rPr>
          <w:szCs w:val="24"/>
        </w:rPr>
        <w:t xml:space="preserve">No all of </w:t>
      </w:r>
      <w:r w:rsidR="002B2104">
        <w:rPr>
          <w:szCs w:val="24"/>
        </w:rPr>
        <w:t xml:space="preserve">the </w:t>
      </w:r>
      <w:r w:rsidRPr="00922244">
        <w:rPr>
          <w:szCs w:val="24"/>
        </w:rPr>
        <w:t>Armenian non-agriculture sectors are affected in the same magnitude and time horizon by global shock</w:t>
      </w:r>
      <w:r w:rsidR="00AF6676">
        <w:rPr>
          <w:szCs w:val="24"/>
        </w:rPr>
        <w:t>s</w:t>
      </w:r>
      <w:r w:rsidRPr="00922244">
        <w:rPr>
          <w:szCs w:val="24"/>
        </w:rPr>
        <w:t xml:space="preserve">. Empirical results, obtained from estimating </w:t>
      </w:r>
      <w:r w:rsidR="00AF6676">
        <w:rPr>
          <w:i/>
          <w:szCs w:val="24"/>
        </w:rPr>
        <w:t xml:space="preserve">sectoral </w:t>
      </w:r>
      <w:r w:rsidRPr="00922244">
        <w:rPr>
          <w:i/>
          <w:szCs w:val="24"/>
        </w:rPr>
        <w:t>baseline</w:t>
      </w:r>
      <w:r w:rsidRPr="00922244">
        <w:rPr>
          <w:szCs w:val="24"/>
        </w:rPr>
        <w:t xml:space="preserve"> SVAR models for each non-agricultural sector, show that </w:t>
      </w:r>
      <w:r w:rsidR="00C354FE">
        <w:rPr>
          <w:szCs w:val="24"/>
        </w:rPr>
        <w:t xml:space="preserve">the </w:t>
      </w:r>
      <w:r w:rsidRPr="00922244">
        <w:rPr>
          <w:szCs w:val="24"/>
        </w:rPr>
        <w:t>one sector that is affected the most is construction</w:t>
      </w:r>
      <w:r w:rsidR="002B2104">
        <w:rPr>
          <w:szCs w:val="24"/>
        </w:rPr>
        <w:t xml:space="preserve"> (Figure 17)</w:t>
      </w:r>
      <w:r w:rsidRPr="00922244">
        <w:rPr>
          <w:szCs w:val="24"/>
        </w:rPr>
        <w:t xml:space="preserve">, followed by services and then by industry. Moreover, empirical results show that transmission channels operate in different ways depending on economic sectors. </w:t>
      </w:r>
    </w:p>
    <w:p w:rsidR="00B5207E" w:rsidRPr="00922244" w:rsidRDefault="00B5207E" w:rsidP="00B5207E">
      <w:pPr>
        <w:tabs>
          <w:tab w:val="left" w:pos="0"/>
        </w:tabs>
        <w:autoSpaceDE w:val="0"/>
        <w:autoSpaceDN w:val="0"/>
        <w:adjustRightInd w:val="0"/>
        <w:spacing w:after="120"/>
        <w:rPr>
          <w:szCs w:val="24"/>
        </w:rPr>
      </w:pPr>
      <w:r w:rsidRPr="00922244">
        <w:rPr>
          <w:szCs w:val="24"/>
        </w:rPr>
        <w:t xml:space="preserve">Regarding services, </w:t>
      </w:r>
      <w:r w:rsidR="00C354FE">
        <w:rPr>
          <w:szCs w:val="24"/>
        </w:rPr>
        <w:t xml:space="preserve">the </w:t>
      </w:r>
      <w:r w:rsidRPr="00922244">
        <w:rPr>
          <w:szCs w:val="24"/>
        </w:rPr>
        <w:t>empirical result</w:t>
      </w:r>
      <w:r w:rsidR="005A59C0">
        <w:rPr>
          <w:szCs w:val="24"/>
        </w:rPr>
        <w:t>s</w:t>
      </w:r>
      <w:r w:rsidRPr="00922244">
        <w:rPr>
          <w:szCs w:val="24"/>
        </w:rPr>
        <w:t xml:space="preserve"> show that remittances and external borrowing are the major contributors to the impact of global demand shocks.</w:t>
      </w:r>
      <w:r>
        <w:rPr>
          <w:szCs w:val="24"/>
        </w:rPr>
        <w:t xml:space="preserve"> </w:t>
      </w:r>
      <w:r w:rsidRPr="00922244">
        <w:rPr>
          <w:szCs w:val="24"/>
        </w:rPr>
        <w:t xml:space="preserve">External borrowing and remittances explain about 54 percent and 21 percent respectively of the impact of global demand shocks in the growth rate of </w:t>
      </w:r>
      <w:r w:rsidR="00C354FE" w:rsidRPr="00922244">
        <w:rPr>
          <w:szCs w:val="24"/>
        </w:rPr>
        <w:t>services</w:t>
      </w:r>
      <w:r w:rsidR="00C354FE">
        <w:rPr>
          <w:szCs w:val="24"/>
        </w:rPr>
        <w:t xml:space="preserve"> </w:t>
      </w:r>
      <w:r w:rsidRPr="00922244">
        <w:rPr>
          <w:szCs w:val="24"/>
        </w:rPr>
        <w:t xml:space="preserve">value added. </w:t>
      </w:r>
      <w:r w:rsidR="00B20A8B">
        <w:rPr>
          <w:szCs w:val="24"/>
        </w:rPr>
        <w:t>The c</w:t>
      </w:r>
      <w:r w:rsidRPr="00922244">
        <w:rPr>
          <w:szCs w:val="24"/>
        </w:rPr>
        <w:t>ontributions of exp</w:t>
      </w:r>
      <w:r w:rsidR="00B20A8B">
        <w:rPr>
          <w:szCs w:val="24"/>
        </w:rPr>
        <w:t xml:space="preserve">orts and tourisms revenues are </w:t>
      </w:r>
      <w:r w:rsidRPr="00922244">
        <w:rPr>
          <w:szCs w:val="24"/>
        </w:rPr>
        <w:t xml:space="preserve">relatively small. This could be the result of the expected large influence that remittances and external borrowing would have on households’ disposable income. In particular, external borrowing </w:t>
      </w:r>
      <w:r w:rsidR="00C354FE">
        <w:rPr>
          <w:szCs w:val="24"/>
        </w:rPr>
        <w:t>is likely to</w:t>
      </w:r>
      <w:r w:rsidR="00C354FE" w:rsidRPr="00922244">
        <w:rPr>
          <w:szCs w:val="24"/>
        </w:rPr>
        <w:t xml:space="preserve"> </w:t>
      </w:r>
      <w:r w:rsidRPr="00922244">
        <w:rPr>
          <w:szCs w:val="24"/>
        </w:rPr>
        <w:t xml:space="preserve">support consumer income through higher public deficit and higher </w:t>
      </w:r>
      <w:r w:rsidR="00C354FE" w:rsidRPr="00922244">
        <w:rPr>
          <w:szCs w:val="24"/>
        </w:rPr>
        <w:t>bank</w:t>
      </w:r>
      <w:r w:rsidR="00C354FE">
        <w:rPr>
          <w:szCs w:val="24"/>
        </w:rPr>
        <w:t xml:space="preserve"> </w:t>
      </w:r>
      <w:r w:rsidRPr="00922244">
        <w:rPr>
          <w:szCs w:val="24"/>
        </w:rPr>
        <w:t xml:space="preserve">financing (as part of </w:t>
      </w:r>
      <w:r w:rsidR="002B2104">
        <w:rPr>
          <w:szCs w:val="24"/>
        </w:rPr>
        <w:t xml:space="preserve">banks’ </w:t>
      </w:r>
      <w:r w:rsidRPr="00922244">
        <w:rPr>
          <w:szCs w:val="24"/>
        </w:rPr>
        <w:t xml:space="preserve">external borrowing take the form of </w:t>
      </w:r>
      <w:r w:rsidR="002B2104">
        <w:rPr>
          <w:szCs w:val="24"/>
        </w:rPr>
        <w:t>lo</w:t>
      </w:r>
      <w:r w:rsidRPr="00922244">
        <w:rPr>
          <w:szCs w:val="24"/>
        </w:rPr>
        <w:t xml:space="preserve">ans with </w:t>
      </w:r>
      <w:r w:rsidR="002B2104">
        <w:rPr>
          <w:szCs w:val="24"/>
        </w:rPr>
        <w:t>IFIs</w:t>
      </w:r>
      <w:r w:rsidRPr="00922244">
        <w:rPr>
          <w:szCs w:val="24"/>
        </w:rPr>
        <w:t xml:space="preserve"> to support access to finance). </w:t>
      </w:r>
    </w:p>
    <w:p w:rsidR="00F3228E" w:rsidRDefault="00B5207E" w:rsidP="00F3228E">
      <w:pPr>
        <w:tabs>
          <w:tab w:val="left" w:pos="0"/>
        </w:tabs>
        <w:autoSpaceDE w:val="0"/>
        <w:autoSpaceDN w:val="0"/>
        <w:adjustRightInd w:val="0"/>
        <w:spacing w:after="120"/>
        <w:rPr>
          <w:szCs w:val="24"/>
        </w:rPr>
      </w:pPr>
      <w:r w:rsidRPr="00922244">
        <w:rPr>
          <w:szCs w:val="24"/>
        </w:rPr>
        <w:t>As regards construction, results show that remittances are the major contributors to the impact of global shocks. This could be the result of the significant role that remittances played to finance the construction boom that Armenia experienced in the pre-crisis years. Remittances</w:t>
      </w:r>
      <w:r w:rsidR="007A10A1">
        <w:rPr>
          <w:szCs w:val="24"/>
        </w:rPr>
        <w:t xml:space="preserve"> </w:t>
      </w:r>
      <w:r w:rsidR="00F3228E" w:rsidRPr="00922244">
        <w:rPr>
          <w:szCs w:val="24"/>
        </w:rPr>
        <w:t xml:space="preserve">explain almost 30 percent of the impact of global demand shocks in construction activity. External borrowing is also an important contributing factor, accounting for 27 percent of the total impact. Only 5.7 percent of the impact of external demand shocks in construction </w:t>
      </w:r>
      <w:r w:rsidR="00F3228E">
        <w:rPr>
          <w:szCs w:val="24"/>
        </w:rPr>
        <w:t xml:space="preserve">growth </w:t>
      </w:r>
      <w:r w:rsidR="00F3228E" w:rsidRPr="00922244">
        <w:rPr>
          <w:szCs w:val="24"/>
        </w:rPr>
        <w:t>is transmitted through exports of goods and services.</w:t>
      </w:r>
    </w:p>
    <w:p w:rsidR="00694C52" w:rsidRDefault="00694C52" w:rsidP="00694C52">
      <w:pPr>
        <w:tabs>
          <w:tab w:val="left" w:pos="0"/>
        </w:tabs>
        <w:autoSpaceDE w:val="0"/>
        <w:autoSpaceDN w:val="0"/>
        <w:adjustRightInd w:val="0"/>
        <w:spacing w:after="120"/>
        <w:rPr>
          <w:szCs w:val="24"/>
        </w:rPr>
      </w:pPr>
      <w:r>
        <w:rPr>
          <w:szCs w:val="24"/>
        </w:rPr>
        <w:t>The i</w:t>
      </w:r>
      <w:r w:rsidRPr="00922244">
        <w:rPr>
          <w:szCs w:val="24"/>
        </w:rPr>
        <w:t xml:space="preserve">ndustry sector shows weak reactions to </w:t>
      </w:r>
      <w:r>
        <w:rPr>
          <w:szCs w:val="24"/>
        </w:rPr>
        <w:t>changes</w:t>
      </w:r>
      <w:r w:rsidRPr="00922244">
        <w:rPr>
          <w:szCs w:val="24"/>
        </w:rPr>
        <w:t xml:space="preserve"> in world GDP. The main contributor factor seems to be external borrowing, which accounts for 25 percent of the total impact, followed by exports and remittances. </w:t>
      </w:r>
      <w:r>
        <w:rPr>
          <w:szCs w:val="24"/>
        </w:rPr>
        <w:t>E</w:t>
      </w:r>
      <w:r w:rsidRPr="00922244">
        <w:rPr>
          <w:szCs w:val="24"/>
        </w:rPr>
        <w:t xml:space="preserve">xport shocks do not seem to play a major role in transmitting the impact of global growth. This could be explained by the dominance of supply shocks over demand shocks in Armenian export-oriented industries, </w:t>
      </w:r>
      <w:r>
        <w:rPr>
          <w:szCs w:val="24"/>
        </w:rPr>
        <w:t xml:space="preserve">especially </w:t>
      </w:r>
      <w:r w:rsidRPr="00922244">
        <w:rPr>
          <w:szCs w:val="24"/>
        </w:rPr>
        <w:t>mining. The growth of mining output in Armenia, which is one of the driving forces of Armenian exports and industry, seems to depend more on the international prices of metals</w:t>
      </w:r>
      <w:r>
        <w:rPr>
          <w:szCs w:val="24"/>
        </w:rPr>
        <w:t xml:space="preserve"> and minerals</w:t>
      </w:r>
      <w:r w:rsidRPr="00922244">
        <w:rPr>
          <w:szCs w:val="24"/>
        </w:rPr>
        <w:t xml:space="preserve"> than</w:t>
      </w:r>
      <w:r>
        <w:rPr>
          <w:szCs w:val="24"/>
        </w:rPr>
        <w:t xml:space="preserve"> </w:t>
      </w:r>
      <w:r w:rsidRPr="00922244">
        <w:rPr>
          <w:szCs w:val="24"/>
        </w:rPr>
        <w:t>on the growth of world demand.</w:t>
      </w:r>
    </w:p>
    <w:p w:rsidR="00694C52" w:rsidRDefault="00694C52" w:rsidP="00694C52">
      <w:pPr>
        <w:tabs>
          <w:tab w:val="left" w:pos="0"/>
        </w:tabs>
        <w:autoSpaceDE w:val="0"/>
        <w:autoSpaceDN w:val="0"/>
        <w:adjustRightInd w:val="0"/>
        <w:spacing w:after="120"/>
        <w:rPr>
          <w:szCs w:val="24"/>
        </w:rPr>
      </w:pPr>
    </w:p>
    <w:p w:rsidR="00694C52" w:rsidRDefault="00694C52" w:rsidP="00694C52">
      <w:pPr>
        <w:tabs>
          <w:tab w:val="left" w:pos="0"/>
        </w:tabs>
        <w:autoSpaceDE w:val="0"/>
        <w:autoSpaceDN w:val="0"/>
        <w:adjustRightInd w:val="0"/>
        <w:spacing w:after="120"/>
        <w:rPr>
          <w:szCs w:val="24"/>
        </w:rPr>
      </w:pPr>
    </w:p>
    <w:p w:rsidR="00694C52" w:rsidRDefault="00694C52" w:rsidP="00694C52">
      <w:pPr>
        <w:tabs>
          <w:tab w:val="left" w:pos="0"/>
        </w:tabs>
        <w:autoSpaceDE w:val="0"/>
        <w:autoSpaceDN w:val="0"/>
        <w:adjustRightInd w:val="0"/>
        <w:spacing w:after="120"/>
        <w:rPr>
          <w:szCs w:val="24"/>
        </w:rPr>
      </w:pPr>
    </w:p>
    <w:p w:rsidR="00694C52" w:rsidRDefault="00694C52" w:rsidP="00694C52">
      <w:pPr>
        <w:tabs>
          <w:tab w:val="left" w:pos="0"/>
        </w:tabs>
        <w:autoSpaceDE w:val="0"/>
        <w:autoSpaceDN w:val="0"/>
        <w:adjustRightInd w:val="0"/>
        <w:spacing w:after="120"/>
        <w:rPr>
          <w:szCs w:val="24"/>
        </w:rPr>
      </w:pPr>
    </w:p>
    <w:p w:rsidR="00694C52" w:rsidRDefault="00694C52" w:rsidP="00694C52">
      <w:pPr>
        <w:tabs>
          <w:tab w:val="left" w:pos="0"/>
        </w:tabs>
        <w:autoSpaceDE w:val="0"/>
        <w:autoSpaceDN w:val="0"/>
        <w:adjustRightInd w:val="0"/>
        <w:spacing w:after="120"/>
        <w:rPr>
          <w:szCs w:val="24"/>
        </w:rPr>
      </w:pPr>
    </w:p>
    <w:p w:rsidR="00694C52" w:rsidRDefault="00694C52" w:rsidP="00694C52">
      <w:pPr>
        <w:tabs>
          <w:tab w:val="left" w:pos="0"/>
        </w:tabs>
        <w:autoSpaceDE w:val="0"/>
        <w:autoSpaceDN w:val="0"/>
        <w:adjustRightInd w:val="0"/>
        <w:spacing w:after="120"/>
        <w:rPr>
          <w:szCs w:val="24"/>
        </w:rPr>
      </w:pPr>
    </w:p>
    <w:p w:rsidR="00694C52" w:rsidRPr="00922244" w:rsidRDefault="00694C52" w:rsidP="00F3228E">
      <w:pPr>
        <w:tabs>
          <w:tab w:val="left" w:pos="0"/>
        </w:tabs>
        <w:autoSpaceDE w:val="0"/>
        <w:autoSpaceDN w:val="0"/>
        <w:adjustRightInd w:val="0"/>
        <w:spacing w:after="120"/>
        <w:rPr>
          <w:szCs w:val="24"/>
        </w:rPr>
      </w:pPr>
    </w:p>
    <w:p w:rsidR="004451B5" w:rsidRPr="00BD3BCF" w:rsidRDefault="00677216" w:rsidP="004451B5">
      <w:pPr>
        <w:tabs>
          <w:tab w:val="left" w:pos="0"/>
        </w:tabs>
        <w:autoSpaceDE w:val="0"/>
        <w:autoSpaceDN w:val="0"/>
        <w:adjustRightInd w:val="0"/>
        <w:spacing w:after="120"/>
        <w:jc w:val="center"/>
        <w:rPr>
          <w:b/>
          <w:sz w:val="20"/>
        </w:rPr>
      </w:pPr>
      <w:r w:rsidRPr="00BD3BCF">
        <w:rPr>
          <w:b/>
          <w:sz w:val="20"/>
        </w:rPr>
        <w:t xml:space="preserve">Figure 17: </w:t>
      </w:r>
      <w:r w:rsidR="004451B5" w:rsidRPr="00BD3BCF">
        <w:rPr>
          <w:b/>
          <w:sz w:val="20"/>
        </w:rPr>
        <w:t xml:space="preserve">Decomposition of Spillovers by </w:t>
      </w:r>
      <w:r w:rsidRPr="00BD3BCF">
        <w:rPr>
          <w:b/>
          <w:sz w:val="20"/>
        </w:rPr>
        <w:t>Transmission Channels</w:t>
      </w:r>
      <w:r w:rsidR="004451B5" w:rsidRPr="00BD3BCF">
        <w:rPr>
          <w:b/>
          <w:sz w:val="20"/>
        </w:rPr>
        <w:t>:</w:t>
      </w:r>
      <w:r w:rsidRPr="00BD3BCF">
        <w:rPr>
          <w:b/>
          <w:sz w:val="20"/>
        </w:rPr>
        <w:t xml:space="preserve"> </w:t>
      </w:r>
    </w:p>
    <w:p w:rsidR="00677216" w:rsidRPr="00BD3BCF" w:rsidRDefault="00677216" w:rsidP="004451B5">
      <w:pPr>
        <w:tabs>
          <w:tab w:val="left" w:pos="0"/>
        </w:tabs>
        <w:autoSpaceDE w:val="0"/>
        <w:autoSpaceDN w:val="0"/>
        <w:adjustRightInd w:val="0"/>
        <w:spacing w:after="120"/>
        <w:jc w:val="center"/>
        <w:rPr>
          <w:b/>
          <w:sz w:val="20"/>
        </w:rPr>
      </w:pPr>
      <w:r w:rsidRPr="00BD3BCF">
        <w:rPr>
          <w:b/>
          <w:sz w:val="20"/>
        </w:rPr>
        <w:t>Cumulative Response of Sector</w:t>
      </w:r>
      <w:r w:rsidR="004451B5" w:rsidRPr="00BD3BCF">
        <w:rPr>
          <w:b/>
          <w:sz w:val="20"/>
        </w:rPr>
        <w:t xml:space="preserve"> Growth to a World Demand</w:t>
      </w:r>
      <w:r w:rsidRPr="00BD3BCF">
        <w:rPr>
          <w:b/>
          <w:sz w:val="20"/>
        </w:rPr>
        <w:t xml:space="preserve"> Shock</w:t>
      </w:r>
    </w:p>
    <w:p w:rsidR="00BD3BCF" w:rsidRDefault="00BC129A" w:rsidP="004451B5">
      <w:pPr>
        <w:tabs>
          <w:tab w:val="left" w:pos="0"/>
        </w:tabs>
        <w:autoSpaceDE w:val="0"/>
        <w:autoSpaceDN w:val="0"/>
        <w:adjustRightInd w:val="0"/>
        <w:spacing w:after="120"/>
        <w:jc w:val="center"/>
        <w:rPr>
          <w:b/>
          <w:szCs w:val="24"/>
        </w:rPr>
      </w:pPr>
      <w:r>
        <w:rPr>
          <w:noProof/>
        </w:rPr>
        <mc:AlternateContent>
          <mc:Choice Requires="wpg">
            <w:drawing>
              <wp:anchor distT="0" distB="0" distL="114300" distR="114300" simplePos="0" relativeHeight="251708416" behindDoc="0" locked="0" layoutInCell="1" allowOverlap="1">
                <wp:simplePos x="0" y="0"/>
                <wp:positionH relativeFrom="column">
                  <wp:posOffset>-666750</wp:posOffset>
                </wp:positionH>
                <wp:positionV relativeFrom="paragraph">
                  <wp:posOffset>19050</wp:posOffset>
                </wp:positionV>
                <wp:extent cx="6409055" cy="7160260"/>
                <wp:effectExtent l="0" t="0" r="0" b="254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9055" cy="7160260"/>
                          <a:chOff x="0" y="0"/>
                          <a:chExt cx="7119520" cy="8523516"/>
                        </a:xfrm>
                      </wpg:grpSpPr>
                      <wpg:graphicFrame>
                        <wpg:cNvPr id="13" name="Chart 13"/>
                        <wpg:cNvFrPr>
                          <a:graphicFrameLocks/>
                        </wpg:cNvFrPr>
                        <wpg:xfrm>
                          <a:off x="0" y="2836441"/>
                          <a:ext cx="7075126" cy="2641003"/>
                        </wpg:xfrm>
                        <a:graphic>
                          <a:graphicData uri="http://schemas.openxmlformats.org/drawingml/2006/chart">
                            <c:chart xmlns:c="http://schemas.openxmlformats.org/drawingml/2006/chart" xmlns:r="http://schemas.openxmlformats.org/officeDocument/2006/relationships" r:id="rId102"/>
                          </a:graphicData>
                        </a:graphic>
                      </wpg:graphicFrame>
                      <wpg:graphicFrame>
                        <wpg:cNvPr id="15" name="Chart 15"/>
                        <wpg:cNvFrPr>
                          <a:graphicFrameLocks/>
                        </wpg:cNvFrPr>
                        <wpg:xfrm>
                          <a:off x="21774" y="5417245"/>
                          <a:ext cx="7097746" cy="3106271"/>
                        </wpg:xfrm>
                        <a:graphic>
                          <a:graphicData uri="http://schemas.openxmlformats.org/drawingml/2006/chart">
                            <c:chart xmlns:c="http://schemas.openxmlformats.org/drawingml/2006/chart" xmlns:r="http://schemas.openxmlformats.org/officeDocument/2006/relationships" r:id="rId103"/>
                          </a:graphicData>
                        </a:graphic>
                      </wpg:graphicFrame>
                      <wpg:graphicFrame>
                        <wpg:cNvPr id="24" name="Chart 24"/>
                        <wpg:cNvFrPr>
                          <a:graphicFrameLocks/>
                        </wpg:cNvFrPr>
                        <wpg:xfrm>
                          <a:off x="0" y="0"/>
                          <a:ext cx="7075716" cy="2647149"/>
                        </wpg:xfrm>
                        <a:graphic>
                          <a:graphicData uri="http://schemas.openxmlformats.org/drawingml/2006/chart">
                            <c:chart xmlns:c="http://schemas.openxmlformats.org/drawingml/2006/chart" xmlns:r="http://schemas.openxmlformats.org/officeDocument/2006/relationships" r:id="rId104"/>
                          </a:graphicData>
                        </a:graphic>
                      </wpg:graphicFrame>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52.5pt;margin-top:1.5pt;width:504.65pt;height:563.8pt;z-index:251708416;mso-width-relative:margin;mso-height-relative:margin" coordsize="71195,85235" o:gfxdata="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">
                <v:shape id="Chart 13" o:spid="_x0000_s1027" type="#_x0000_t75" style="position:absolute;top:28300;width:70764;height:26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">
                  <v:imagedata r:id="rId105" o:title=""/>
                  <o:lock v:ext="edit" aspectratio="f"/>
                </v:shape>
                <v:shape id="Chart 15" o:spid="_x0000_s1028" type="#_x0000_t75" style="position:absolute;left:203;top:54207;width:70968;height:310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">
                  <v:imagedata r:id="rId106" o:title=""/>
                  <o:lock v:ext="edit" aspectratio="f"/>
                </v:shape>
                <v:shape id="Chart 24" o:spid="_x0000_s1029" type="#_x0000_t75" style="position:absolute;width:70764;height:264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">
                  <v:imagedata r:id="rId107" o:title=""/>
                  <o:lock v:ext="edit" aspectratio="f"/>
                </v:shape>
              </v:group>
            </w:pict>
          </mc:Fallback>
        </mc:AlternateContent>
      </w:r>
    </w:p>
    <w:p w:rsidR="004451B5" w:rsidRDefault="004451B5" w:rsidP="004451B5">
      <w:pPr>
        <w:tabs>
          <w:tab w:val="left" w:pos="0"/>
        </w:tabs>
        <w:autoSpaceDE w:val="0"/>
        <w:autoSpaceDN w:val="0"/>
        <w:adjustRightInd w:val="0"/>
        <w:spacing w:after="120"/>
        <w:jc w:val="center"/>
        <w:rPr>
          <w:b/>
          <w:szCs w:val="24"/>
        </w:rPr>
      </w:pPr>
    </w:p>
    <w:p w:rsidR="004451B5" w:rsidRDefault="004451B5" w:rsidP="004451B5">
      <w:pPr>
        <w:tabs>
          <w:tab w:val="left" w:pos="0"/>
        </w:tabs>
        <w:autoSpaceDE w:val="0"/>
        <w:autoSpaceDN w:val="0"/>
        <w:adjustRightInd w:val="0"/>
        <w:spacing w:after="120"/>
        <w:rPr>
          <w:b/>
          <w:szCs w:val="24"/>
        </w:rPr>
      </w:pPr>
    </w:p>
    <w:p w:rsidR="004451B5" w:rsidRDefault="004451B5" w:rsidP="004451B5">
      <w:pPr>
        <w:tabs>
          <w:tab w:val="left" w:pos="0"/>
        </w:tabs>
        <w:autoSpaceDE w:val="0"/>
        <w:autoSpaceDN w:val="0"/>
        <w:adjustRightInd w:val="0"/>
        <w:spacing w:after="120"/>
        <w:rPr>
          <w:b/>
          <w:szCs w:val="24"/>
        </w:rPr>
      </w:pPr>
    </w:p>
    <w:p w:rsidR="00677216" w:rsidRDefault="00677216" w:rsidP="00677216">
      <w:pPr>
        <w:tabs>
          <w:tab w:val="left" w:pos="0"/>
        </w:tabs>
        <w:autoSpaceDE w:val="0"/>
        <w:autoSpaceDN w:val="0"/>
        <w:adjustRightInd w:val="0"/>
        <w:spacing w:after="120"/>
        <w:jc w:val="center"/>
        <w:rPr>
          <w:b/>
          <w:szCs w:val="24"/>
        </w:rPr>
      </w:pPr>
    </w:p>
    <w:p w:rsidR="004451B5" w:rsidRDefault="004451B5"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Default="00677216" w:rsidP="00677216">
      <w:pPr>
        <w:tabs>
          <w:tab w:val="left" w:pos="0"/>
        </w:tabs>
        <w:autoSpaceDE w:val="0"/>
        <w:autoSpaceDN w:val="0"/>
        <w:adjustRightInd w:val="0"/>
        <w:spacing w:after="120"/>
        <w:jc w:val="center"/>
        <w:rPr>
          <w:b/>
          <w:szCs w:val="24"/>
        </w:rPr>
      </w:pPr>
    </w:p>
    <w:p w:rsidR="00677216" w:rsidRPr="00EE63DC" w:rsidRDefault="00677216" w:rsidP="00677216">
      <w:pPr>
        <w:tabs>
          <w:tab w:val="left" w:pos="0"/>
        </w:tabs>
        <w:autoSpaceDE w:val="0"/>
        <w:autoSpaceDN w:val="0"/>
        <w:adjustRightInd w:val="0"/>
        <w:rPr>
          <w:sz w:val="18"/>
          <w:szCs w:val="18"/>
        </w:rPr>
      </w:pPr>
      <w:r w:rsidRPr="00EE63DC">
        <w:rPr>
          <w:sz w:val="18"/>
          <w:szCs w:val="18"/>
        </w:rPr>
        <w:t>Source: Authors’ calculations.</w:t>
      </w:r>
    </w:p>
    <w:p w:rsidR="007A10A1" w:rsidRDefault="007A10A1" w:rsidP="00B5207E">
      <w:pPr>
        <w:tabs>
          <w:tab w:val="left" w:pos="0"/>
        </w:tabs>
        <w:autoSpaceDE w:val="0"/>
        <w:autoSpaceDN w:val="0"/>
        <w:adjustRightInd w:val="0"/>
        <w:spacing w:after="120"/>
        <w:rPr>
          <w:szCs w:val="24"/>
        </w:rPr>
      </w:pPr>
    </w:p>
    <w:p w:rsidR="003A6A25" w:rsidRPr="007D2997" w:rsidRDefault="003A6A25" w:rsidP="007D4175">
      <w:pPr>
        <w:pStyle w:val="Heading1"/>
        <w:rPr>
          <w:smallCaps w:val="0"/>
          <w:szCs w:val="24"/>
        </w:rPr>
      </w:pPr>
      <w:r w:rsidRPr="007D2997">
        <w:rPr>
          <w:szCs w:val="24"/>
        </w:rPr>
        <w:t>CONCLUSION</w:t>
      </w:r>
    </w:p>
    <w:p w:rsidR="003A6A25" w:rsidRPr="00922244" w:rsidRDefault="003A6A25" w:rsidP="003A6A25">
      <w:pPr>
        <w:tabs>
          <w:tab w:val="left" w:pos="0"/>
        </w:tabs>
        <w:autoSpaceDE w:val="0"/>
        <w:autoSpaceDN w:val="0"/>
        <w:adjustRightInd w:val="0"/>
        <w:spacing w:after="120"/>
        <w:rPr>
          <w:szCs w:val="24"/>
        </w:rPr>
      </w:pPr>
      <w:r w:rsidRPr="00922244">
        <w:rPr>
          <w:szCs w:val="24"/>
        </w:rPr>
        <w:t xml:space="preserve">Using a SVAR </w:t>
      </w:r>
      <w:r w:rsidR="00126535" w:rsidRPr="00922244">
        <w:rPr>
          <w:szCs w:val="24"/>
        </w:rPr>
        <w:t>model,</w:t>
      </w:r>
      <w:r w:rsidRPr="00922244">
        <w:rPr>
          <w:szCs w:val="24"/>
        </w:rPr>
        <w:t xml:space="preserve"> this paper examines the size, geographical </w:t>
      </w:r>
      <w:r w:rsidR="00EE63DC" w:rsidRPr="00EE63DC">
        <w:rPr>
          <w:szCs w:val="24"/>
        </w:rPr>
        <w:t>sources</w:t>
      </w:r>
      <w:r w:rsidRPr="00922244">
        <w:rPr>
          <w:szCs w:val="24"/>
        </w:rPr>
        <w:t xml:space="preserve"> and transmission </w:t>
      </w:r>
      <w:r w:rsidR="00EE63DC" w:rsidRPr="00922244">
        <w:rPr>
          <w:szCs w:val="24"/>
        </w:rPr>
        <w:t>channels</w:t>
      </w:r>
      <w:r w:rsidRPr="00922244">
        <w:rPr>
          <w:szCs w:val="24"/>
        </w:rPr>
        <w:t xml:space="preserve"> of global </w:t>
      </w:r>
      <w:r w:rsidR="007A10A1">
        <w:rPr>
          <w:szCs w:val="24"/>
        </w:rPr>
        <w:t xml:space="preserve">and regional </w:t>
      </w:r>
      <w:r w:rsidRPr="00922244">
        <w:rPr>
          <w:szCs w:val="24"/>
        </w:rPr>
        <w:t xml:space="preserve">shocks to Armenian economy. Results show that the impact of global demand shocks is sizeable and long-lasting. The impact is mainly transmitted through </w:t>
      </w:r>
      <w:r w:rsidR="00C354FE">
        <w:rPr>
          <w:szCs w:val="24"/>
        </w:rPr>
        <w:t xml:space="preserve">the </w:t>
      </w:r>
      <w:r w:rsidR="00C354FE" w:rsidRPr="00922244">
        <w:rPr>
          <w:szCs w:val="24"/>
        </w:rPr>
        <w:t>Russia</w:t>
      </w:r>
      <w:r w:rsidR="00C354FE">
        <w:rPr>
          <w:szCs w:val="24"/>
        </w:rPr>
        <w:t xml:space="preserve">n </w:t>
      </w:r>
      <w:r w:rsidRPr="00922244">
        <w:rPr>
          <w:szCs w:val="24"/>
        </w:rPr>
        <w:t xml:space="preserve">and </w:t>
      </w:r>
      <w:r w:rsidR="00C354FE" w:rsidRPr="00922244">
        <w:rPr>
          <w:szCs w:val="24"/>
        </w:rPr>
        <w:t>EU</w:t>
      </w:r>
      <w:r w:rsidR="00C354FE">
        <w:rPr>
          <w:szCs w:val="24"/>
        </w:rPr>
        <w:t xml:space="preserve"> </w:t>
      </w:r>
      <w:r w:rsidRPr="00922244">
        <w:rPr>
          <w:szCs w:val="24"/>
        </w:rPr>
        <w:t>economies, two of the world</w:t>
      </w:r>
      <w:r w:rsidR="00C354FE">
        <w:rPr>
          <w:szCs w:val="24"/>
        </w:rPr>
        <w:t>’s</w:t>
      </w:r>
      <w:r w:rsidRPr="00922244">
        <w:rPr>
          <w:szCs w:val="24"/>
        </w:rPr>
        <w:t xml:space="preserve"> geographical areas with the strongest trade, tourism, remittances and financial linkages with Armenia</w:t>
      </w:r>
      <w:r w:rsidR="007A10A1">
        <w:rPr>
          <w:szCs w:val="24"/>
        </w:rPr>
        <w:t xml:space="preserve">. These two regions account </w:t>
      </w:r>
      <w:r w:rsidRPr="00922244">
        <w:rPr>
          <w:szCs w:val="24"/>
        </w:rPr>
        <w:t xml:space="preserve">for 70 and 21 of the total impact respectively. Russia is important in transforming the negative impact of an increase in oil prices into a positive event in Armenia. This is because the negative impact that </w:t>
      </w:r>
      <w:r w:rsidR="00C354FE">
        <w:rPr>
          <w:szCs w:val="24"/>
        </w:rPr>
        <w:t xml:space="preserve">higher </w:t>
      </w:r>
      <w:r w:rsidRPr="00922244">
        <w:rPr>
          <w:szCs w:val="24"/>
        </w:rPr>
        <w:t xml:space="preserve">oil prices may have on </w:t>
      </w:r>
      <w:r w:rsidR="00C354FE">
        <w:rPr>
          <w:szCs w:val="24"/>
        </w:rPr>
        <w:t xml:space="preserve">the </w:t>
      </w:r>
      <w:r w:rsidRPr="00922244">
        <w:rPr>
          <w:szCs w:val="24"/>
        </w:rPr>
        <w:t>Armenian oil bill are more than off-set by the positive effect that the surges usually have on Russian growth rate, and therefore on Armenia’s remittances, exports</w:t>
      </w:r>
      <w:r w:rsidR="00C354FE">
        <w:rPr>
          <w:szCs w:val="24"/>
        </w:rPr>
        <w:t>, financing,</w:t>
      </w:r>
      <w:r w:rsidRPr="00922244">
        <w:rPr>
          <w:szCs w:val="24"/>
        </w:rPr>
        <w:t xml:space="preserve"> and</w:t>
      </w:r>
      <w:r w:rsidR="000944DF">
        <w:rPr>
          <w:szCs w:val="24"/>
        </w:rPr>
        <w:t xml:space="preserve"> economic</w:t>
      </w:r>
      <w:r w:rsidRPr="00922244">
        <w:rPr>
          <w:szCs w:val="24"/>
        </w:rPr>
        <w:t xml:space="preserve"> growth. Our analysis also shows that remittances and external borrowing are the main transmission channels of spillovers from global shocks to Armenian economy, explaining </w:t>
      </w:r>
      <w:r w:rsidR="000944DF">
        <w:rPr>
          <w:szCs w:val="24"/>
        </w:rPr>
        <w:t>28</w:t>
      </w:r>
      <w:r w:rsidRPr="00922244">
        <w:rPr>
          <w:szCs w:val="24"/>
        </w:rPr>
        <w:t xml:space="preserve"> and </w:t>
      </w:r>
      <w:r w:rsidR="000944DF">
        <w:rPr>
          <w:szCs w:val="24"/>
        </w:rPr>
        <w:t xml:space="preserve">31 </w:t>
      </w:r>
      <w:r w:rsidRPr="00922244">
        <w:rPr>
          <w:szCs w:val="24"/>
        </w:rPr>
        <w:t>percent of total impact respectively, while the role of exports and tourism remains low. Consistently, services and construction, which are the two sectors that depend the most on remittances and external borrowing, are the most affected by global shocks.</w:t>
      </w:r>
    </w:p>
    <w:p w:rsidR="003A6A25" w:rsidRPr="00922244" w:rsidRDefault="003A6A25" w:rsidP="003A6A25">
      <w:pPr>
        <w:tabs>
          <w:tab w:val="left" w:pos="0"/>
        </w:tabs>
        <w:autoSpaceDE w:val="0"/>
        <w:autoSpaceDN w:val="0"/>
        <w:adjustRightInd w:val="0"/>
        <w:spacing w:after="120"/>
        <w:rPr>
          <w:szCs w:val="24"/>
        </w:rPr>
      </w:pPr>
      <w:r w:rsidRPr="00922244">
        <w:rPr>
          <w:szCs w:val="24"/>
        </w:rPr>
        <w:t xml:space="preserve">Our analysis also provides useful insights on the potential impact of </w:t>
      </w:r>
      <w:r w:rsidR="00207BBB">
        <w:rPr>
          <w:szCs w:val="24"/>
        </w:rPr>
        <w:t xml:space="preserve">ongoing and </w:t>
      </w:r>
      <w:r w:rsidRPr="00922244">
        <w:rPr>
          <w:szCs w:val="24"/>
        </w:rPr>
        <w:t xml:space="preserve">expected global and regional developments </w:t>
      </w:r>
      <w:r w:rsidR="00C354FE">
        <w:rPr>
          <w:szCs w:val="24"/>
        </w:rPr>
        <w:t xml:space="preserve">on the </w:t>
      </w:r>
      <w:r w:rsidRPr="00922244">
        <w:rPr>
          <w:szCs w:val="24"/>
        </w:rPr>
        <w:t xml:space="preserve">Armenian economy. </w:t>
      </w:r>
      <w:r w:rsidR="00407F8C">
        <w:rPr>
          <w:szCs w:val="24"/>
        </w:rPr>
        <w:t xml:space="preserve">Some </w:t>
      </w:r>
      <w:r w:rsidRPr="00922244">
        <w:rPr>
          <w:i/>
          <w:szCs w:val="24"/>
        </w:rPr>
        <w:t xml:space="preserve">global developments, </w:t>
      </w:r>
      <w:r w:rsidRPr="00922244">
        <w:rPr>
          <w:szCs w:val="24"/>
        </w:rPr>
        <w:t xml:space="preserve">such as the normalization of monetary policies in advanced economies and the ensuing tightening in global financial conditions, would not have a strong </w:t>
      </w:r>
      <w:r w:rsidRPr="00922244">
        <w:rPr>
          <w:i/>
          <w:szCs w:val="24"/>
        </w:rPr>
        <w:t>direct</w:t>
      </w:r>
      <w:r w:rsidRPr="00922244">
        <w:rPr>
          <w:szCs w:val="24"/>
        </w:rPr>
        <w:t xml:space="preserve"> impact on Armenia, given the large share of Armenia’s external debt on concessional terms</w:t>
      </w:r>
      <w:r w:rsidR="001A60B9">
        <w:rPr>
          <w:szCs w:val="24"/>
        </w:rPr>
        <w:t>, the</w:t>
      </w:r>
      <w:r w:rsidRPr="00922244">
        <w:rPr>
          <w:szCs w:val="24"/>
        </w:rPr>
        <w:t xml:space="preserve"> low international integration of Armenian banks</w:t>
      </w:r>
      <w:r w:rsidR="001A60B9">
        <w:rPr>
          <w:szCs w:val="24"/>
        </w:rPr>
        <w:t>, and negligible level of external portfolio investment</w:t>
      </w:r>
      <w:r w:rsidRPr="00922244">
        <w:rPr>
          <w:szCs w:val="24"/>
        </w:rPr>
        <w:t>.</w:t>
      </w:r>
      <w:r w:rsidR="00407F8C">
        <w:rPr>
          <w:szCs w:val="24"/>
        </w:rPr>
        <w:t xml:space="preserve"> A change in international oil prices are not expected to have a direct impact on Armenia economy, given Armenia’s relative high level of gasification and long tradition of medium-term gas price agreements with Russia. </w:t>
      </w:r>
      <w:r w:rsidRPr="00922244">
        <w:rPr>
          <w:szCs w:val="24"/>
        </w:rPr>
        <w:t xml:space="preserve"> </w:t>
      </w:r>
      <w:r w:rsidR="00207BBB">
        <w:rPr>
          <w:szCs w:val="24"/>
        </w:rPr>
        <w:t>However, our paper shows that these developments</w:t>
      </w:r>
      <w:r w:rsidRPr="00922244">
        <w:rPr>
          <w:szCs w:val="24"/>
        </w:rPr>
        <w:t xml:space="preserve"> </w:t>
      </w:r>
      <w:r w:rsidR="00207BBB">
        <w:rPr>
          <w:szCs w:val="24"/>
        </w:rPr>
        <w:t>w</w:t>
      </w:r>
      <w:r w:rsidRPr="00922244">
        <w:rPr>
          <w:szCs w:val="24"/>
        </w:rPr>
        <w:t xml:space="preserve">ould affect Armenia </w:t>
      </w:r>
      <w:r w:rsidRPr="00922244">
        <w:rPr>
          <w:i/>
          <w:szCs w:val="24"/>
        </w:rPr>
        <w:t>indirectly</w:t>
      </w:r>
      <w:r w:rsidR="001A60B9">
        <w:rPr>
          <w:szCs w:val="24"/>
        </w:rPr>
        <w:t xml:space="preserve"> via trading partners. For instance, </w:t>
      </w:r>
      <w:r w:rsidR="00407F8C">
        <w:rPr>
          <w:szCs w:val="24"/>
        </w:rPr>
        <w:t xml:space="preserve">the recent </w:t>
      </w:r>
      <w:r w:rsidR="00207BBB">
        <w:rPr>
          <w:szCs w:val="24"/>
        </w:rPr>
        <w:t xml:space="preserve">decline in </w:t>
      </w:r>
      <w:r w:rsidRPr="00922244">
        <w:rPr>
          <w:szCs w:val="24"/>
        </w:rPr>
        <w:t xml:space="preserve">commodity prices </w:t>
      </w:r>
      <w:r w:rsidR="001A60B9">
        <w:rPr>
          <w:szCs w:val="24"/>
        </w:rPr>
        <w:t xml:space="preserve">(especially oil prices), which </w:t>
      </w:r>
      <w:r w:rsidR="00407F8C">
        <w:rPr>
          <w:szCs w:val="24"/>
        </w:rPr>
        <w:t>is translating</w:t>
      </w:r>
      <w:r w:rsidRPr="00922244">
        <w:rPr>
          <w:szCs w:val="24"/>
        </w:rPr>
        <w:t xml:space="preserve"> into lower growth for Russia</w:t>
      </w:r>
      <w:r w:rsidR="001A60B9">
        <w:rPr>
          <w:szCs w:val="24"/>
        </w:rPr>
        <w:t xml:space="preserve">, </w:t>
      </w:r>
      <w:r w:rsidR="00407F8C">
        <w:rPr>
          <w:szCs w:val="24"/>
        </w:rPr>
        <w:t xml:space="preserve">is expected to </w:t>
      </w:r>
      <w:r w:rsidR="001A60B9">
        <w:rPr>
          <w:szCs w:val="24"/>
        </w:rPr>
        <w:t xml:space="preserve">affect negatively </w:t>
      </w:r>
      <w:r w:rsidRPr="00922244">
        <w:rPr>
          <w:szCs w:val="24"/>
        </w:rPr>
        <w:t>Armenia</w:t>
      </w:r>
      <w:r w:rsidR="00407F8C">
        <w:rPr>
          <w:szCs w:val="24"/>
        </w:rPr>
        <w:t xml:space="preserve">, via </w:t>
      </w:r>
      <w:r w:rsidR="00407F8C" w:rsidRPr="00922244">
        <w:rPr>
          <w:szCs w:val="24"/>
        </w:rPr>
        <w:t>lower remittances and exports.</w:t>
      </w:r>
      <w:r w:rsidRPr="00922244">
        <w:rPr>
          <w:szCs w:val="24"/>
        </w:rPr>
        <w:t xml:space="preserve"> </w:t>
      </w:r>
      <w:r w:rsidR="00407F8C">
        <w:rPr>
          <w:szCs w:val="24"/>
        </w:rPr>
        <w:t>G</w:t>
      </w:r>
      <w:r w:rsidRPr="00922244">
        <w:rPr>
          <w:szCs w:val="24"/>
        </w:rPr>
        <w:t>eopolitical tensions with Ukraine</w:t>
      </w:r>
      <w:r w:rsidR="00407F8C">
        <w:rPr>
          <w:szCs w:val="24"/>
        </w:rPr>
        <w:t xml:space="preserve"> and the ensuing US-EU sanctions on Russia and counter sanctions </w:t>
      </w:r>
      <w:r w:rsidRPr="00922244">
        <w:rPr>
          <w:szCs w:val="24"/>
        </w:rPr>
        <w:t xml:space="preserve">are </w:t>
      </w:r>
      <w:r w:rsidR="00407F8C">
        <w:rPr>
          <w:szCs w:val="24"/>
        </w:rPr>
        <w:t xml:space="preserve">deteriorating Russia’s growth prospects and therefore Armenia’s ones. A tightening in </w:t>
      </w:r>
      <w:r w:rsidR="00407F8C" w:rsidRPr="00922244">
        <w:rPr>
          <w:szCs w:val="24"/>
        </w:rPr>
        <w:t xml:space="preserve">global financial conditions </w:t>
      </w:r>
      <w:r w:rsidR="001C2850">
        <w:rPr>
          <w:szCs w:val="24"/>
        </w:rPr>
        <w:t xml:space="preserve">could hinder Russia’s access to international funding, and reduce Russia’s willingness to provide bilateral external borrowing to Armenia. A delayed recovery in EU may also hinder its capacity to provide funding to Armenia. </w:t>
      </w:r>
      <w:r w:rsidR="00772B65">
        <w:rPr>
          <w:szCs w:val="24"/>
        </w:rPr>
        <w:t>Our analysis shows that even a reduce deviation</w:t>
      </w:r>
      <w:r w:rsidR="00067106">
        <w:rPr>
          <w:szCs w:val="24"/>
        </w:rPr>
        <w:t xml:space="preserve">, such as a one-standard reduction, in the growth path of Russia could lead to a huge deterioration in Armenia’s non-agriculture GDP. Therefore, current predictions of a </w:t>
      </w:r>
      <w:r w:rsidR="00C354FE">
        <w:rPr>
          <w:szCs w:val="24"/>
        </w:rPr>
        <w:t xml:space="preserve">reversal of Russian growth from 3.5 </w:t>
      </w:r>
      <w:r w:rsidR="00067106">
        <w:rPr>
          <w:szCs w:val="24"/>
        </w:rPr>
        <w:t xml:space="preserve">percent </w:t>
      </w:r>
      <w:r w:rsidR="00C354FE">
        <w:rPr>
          <w:szCs w:val="24"/>
        </w:rPr>
        <w:t xml:space="preserve">to -4 </w:t>
      </w:r>
      <w:r w:rsidR="00067106">
        <w:rPr>
          <w:szCs w:val="24"/>
        </w:rPr>
        <w:t xml:space="preserve">percent in 2015 </w:t>
      </w:r>
      <w:r w:rsidR="00C354FE">
        <w:rPr>
          <w:szCs w:val="24"/>
        </w:rPr>
        <w:t>and a slowdown in the EU from 1.5 perce</w:t>
      </w:r>
      <w:r w:rsidR="00067106">
        <w:rPr>
          <w:szCs w:val="24"/>
        </w:rPr>
        <w:t xml:space="preserve">nt to 0.5 percent would have a significant negative impact on </w:t>
      </w:r>
      <w:r w:rsidR="00C354FE">
        <w:rPr>
          <w:szCs w:val="24"/>
        </w:rPr>
        <w:t>Armenia</w:t>
      </w:r>
      <w:r w:rsidR="00067106">
        <w:rPr>
          <w:szCs w:val="24"/>
        </w:rPr>
        <w:t>’s path growth.</w:t>
      </w:r>
    </w:p>
    <w:p w:rsidR="00742D24" w:rsidRDefault="003A6A25" w:rsidP="000B4F9F">
      <w:pPr>
        <w:tabs>
          <w:tab w:val="left" w:pos="0"/>
        </w:tabs>
        <w:autoSpaceDE w:val="0"/>
        <w:autoSpaceDN w:val="0"/>
        <w:adjustRightInd w:val="0"/>
        <w:spacing w:after="120"/>
        <w:rPr>
          <w:szCs w:val="24"/>
        </w:rPr>
      </w:pPr>
      <w:r w:rsidRPr="00922244">
        <w:rPr>
          <w:szCs w:val="24"/>
        </w:rPr>
        <w:t xml:space="preserve">As regards the </w:t>
      </w:r>
      <w:r w:rsidR="00D20873" w:rsidRPr="00067106">
        <w:rPr>
          <w:i/>
          <w:szCs w:val="24"/>
        </w:rPr>
        <w:t xml:space="preserve">right </w:t>
      </w:r>
      <w:r w:rsidRPr="00067106">
        <w:rPr>
          <w:i/>
          <w:szCs w:val="24"/>
        </w:rPr>
        <w:t>policy response</w:t>
      </w:r>
      <w:r w:rsidRPr="00922244">
        <w:rPr>
          <w:szCs w:val="24"/>
        </w:rPr>
        <w:t xml:space="preserve">, </w:t>
      </w:r>
      <w:r w:rsidR="00067106">
        <w:rPr>
          <w:szCs w:val="24"/>
        </w:rPr>
        <w:t xml:space="preserve">the Armenian authorities would need to consider the following options: </w:t>
      </w:r>
    </w:p>
    <w:p w:rsidR="00AF204F" w:rsidRDefault="00067106" w:rsidP="00AF204F">
      <w:pPr>
        <w:pStyle w:val="ListParagraph"/>
        <w:numPr>
          <w:ilvl w:val="6"/>
          <w:numId w:val="11"/>
        </w:numPr>
        <w:tabs>
          <w:tab w:val="clear" w:pos="3960"/>
          <w:tab w:val="left" w:pos="0"/>
          <w:tab w:val="num" w:pos="720"/>
        </w:tabs>
        <w:autoSpaceDE w:val="0"/>
        <w:autoSpaceDN w:val="0"/>
        <w:adjustRightInd w:val="0"/>
        <w:spacing w:after="120"/>
        <w:ind w:left="720"/>
        <w:rPr>
          <w:szCs w:val="24"/>
        </w:rPr>
      </w:pPr>
      <w:r w:rsidRPr="00742D24">
        <w:rPr>
          <w:i/>
          <w:szCs w:val="24"/>
        </w:rPr>
        <w:t>on a pre-emptive basis, before the shock hits</w:t>
      </w:r>
      <w:r w:rsidRPr="00742D24">
        <w:rPr>
          <w:szCs w:val="24"/>
        </w:rPr>
        <w:t>, the authorities should focus on building and preserving macroeconomic buffers, including moderate levels of public deficit and debt, and a relatively high level of international reserves;</w:t>
      </w:r>
      <w:r w:rsidR="00742D24">
        <w:rPr>
          <w:szCs w:val="24"/>
        </w:rPr>
        <w:t xml:space="preserve"> </w:t>
      </w:r>
      <w:r w:rsidR="00E41937">
        <w:rPr>
          <w:szCs w:val="24"/>
        </w:rPr>
        <w:t>this</w:t>
      </w:r>
      <w:r w:rsidR="00742D24">
        <w:rPr>
          <w:szCs w:val="24"/>
        </w:rPr>
        <w:t xml:space="preserve"> would help </w:t>
      </w:r>
      <w:r w:rsidR="00742D24">
        <w:rPr>
          <w:szCs w:val="24"/>
        </w:rPr>
        <w:lastRenderedPageBreak/>
        <w:t xml:space="preserve">Armenia to tap external borrowing from donors and preserve current access to market; </w:t>
      </w:r>
      <w:r w:rsidRPr="00742D24">
        <w:rPr>
          <w:szCs w:val="24"/>
        </w:rPr>
        <w:t>in addition</w:t>
      </w:r>
      <w:r w:rsidR="00E41937">
        <w:rPr>
          <w:szCs w:val="24"/>
        </w:rPr>
        <w:t>,</w:t>
      </w:r>
      <w:r w:rsidR="00742D24">
        <w:rPr>
          <w:szCs w:val="24"/>
        </w:rPr>
        <w:t xml:space="preserve"> </w:t>
      </w:r>
      <w:r w:rsidRPr="00742D24">
        <w:rPr>
          <w:szCs w:val="24"/>
        </w:rPr>
        <w:t>the</w:t>
      </w:r>
      <w:r w:rsidR="00742D24">
        <w:rPr>
          <w:szCs w:val="24"/>
        </w:rPr>
        <w:t xml:space="preserve">  authorities</w:t>
      </w:r>
      <w:r w:rsidRPr="00742D24">
        <w:rPr>
          <w:szCs w:val="24"/>
        </w:rPr>
        <w:t xml:space="preserve"> should focus on improving the business climate</w:t>
      </w:r>
      <w:r w:rsidR="00E41937">
        <w:rPr>
          <w:szCs w:val="24"/>
        </w:rPr>
        <w:t xml:space="preserve"> and improving the country’ openness and connectivity,</w:t>
      </w:r>
      <w:r w:rsidRPr="00742D24">
        <w:rPr>
          <w:szCs w:val="24"/>
        </w:rPr>
        <w:t xml:space="preserve"> to attract foreign direct investmen</w:t>
      </w:r>
      <w:r w:rsidR="00742D24">
        <w:rPr>
          <w:szCs w:val="24"/>
        </w:rPr>
        <w:t>t and promote export-oriented activities; this could help</w:t>
      </w:r>
      <w:r w:rsidRPr="00742D24">
        <w:rPr>
          <w:szCs w:val="24"/>
        </w:rPr>
        <w:t xml:space="preserve"> ensure a higher degree of economic diversification, and</w:t>
      </w:r>
      <w:r w:rsidR="00742D24">
        <w:rPr>
          <w:szCs w:val="24"/>
        </w:rPr>
        <w:t>, eventually</w:t>
      </w:r>
      <w:r w:rsidRPr="00742D24">
        <w:rPr>
          <w:szCs w:val="24"/>
        </w:rPr>
        <w:t xml:space="preserve"> </w:t>
      </w:r>
      <w:r w:rsidR="00742D24" w:rsidRPr="00742D24">
        <w:rPr>
          <w:szCs w:val="24"/>
        </w:rPr>
        <w:t>a reduction of the country’s dependence on remittances, especially from Russia</w:t>
      </w:r>
      <w:r w:rsidRPr="00742D24">
        <w:rPr>
          <w:szCs w:val="24"/>
        </w:rPr>
        <w:t>;</w:t>
      </w:r>
    </w:p>
    <w:p w:rsidR="00AF204F" w:rsidRDefault="00067106" w:rsidP="00AF204F">
      <w:pPr>
        <w:pStyle w:val="ListParagraph"/>
        <w:tabs>
          <w:tab w:val="left" w:pos="0"/>
        </w:tabs>
        <w:autoSpaceDE w:val="0"/>
        <w:autoSpaceDN w:val="0"/>
        <w:adjustRightInd w:val="0"/>
        <w:spacing w:after="120"/>
        <w:rPr>
          <w:szCs w:val="24"/>
        </w:rPr>
      </w:pPr>
      <w:r w:rsidRPr="00742D24">
        <w:rPr>
          <w:szCs w:val="24"/>
        </w:rPr>
        <w:t xml:space="preserve"> </w:t>
      </w:r>
    </w:p>
    <w:p w:rsidR="003A6A25" w:rsidRDefault="003A6A25" w:rsidP="00AF204F">
      <w:pPr>
        <w:pStyle w:val="ListParagraph"/>
        <w:numPr>
          <w:ilvl w:val="6"/>
          <w:numId w:val="11"/>
        </w:numPr>
        <w:tabs>
          <w:tab w:val="clear" w:pos="3960"/>
          <w:tab w:val="left" w:pos="0"/>
          <w:tab w:val="num" w:pos="720"/>
        </w:tabs>
        <w:autoSpaceDE w:val="0"/>
        <w:autoSpaceDN w:val="0"/>
        <w:adjustRightInd w:val="0"/>
        <w:spacing w:after="120"/>
        <w:ind w:left="720"/>
        <w:rPr>
          <w:szCs w:val="24"/>
        </w:rPr>
      </w:pPr>
      <w:r w:rsidRPr="00AF204F">
        <w:rPr>
          <w:i/>
          <w:szCs w:val="24"/>
        </w:rPr>
        <w:t>in the short-term</w:t>
      </w:r>
      <w:r w:rsidR="00067106" w:rsidRPr="00AF204F">
        <w:rPr>
          <w:i/>
          <w:szCs w:val="24"/>
        </w:rPr>
        <w:t xml:space="preserve">, once the shocks has </w:t>
      </w:r>
      <w:r w:rsidR="00742D24" w:rsidRPr="00AF204F">
        <w:rPr>
          <w:i/>
          <w:szCs w:val="24"/>
        </w:rPr>
        <w:t>hit</w:t>
      </w:r>
      <w:r w:rsidR="00742D24" w:rsidRPr="00AF204F">
        <w:rPr>
          <w:szCs w:val="24"/>
        </w:rPr>
        <w:t>,</w:t>
      </w:r>
      <w:r w:rsidRPr="00AF204F">
        <w:rPr>
          <w:szCs w:val="24"/>
        </w:rPr>
        <w:t xml:space="preserve"> the Armenian authorities’ room for maneuver</w:t>
      </w:r>
      <w:r w:rsidR="00D20873" w:rsidRPr="00AF204F">
        <w:rPr>
          <w:szCs w:val="24"/>
        </w:rPr>
        <w:t xml:space="preserve"> is limited</w:t>
      </w:r>
      <w:r w:rsidR="00AF204F">
        <w:rPr>
          <w:szCs w:val="24"/>
        </w:rPr>
        <w:t xml:space="preserve">, yet not negligible; in the context of comfortable buffers, the authorities should be </w:t>
      </w:r>
      <w:r w:rsidR="00E41937">
        <w:rPr>
          <w:szCs w:val="24"/>
        </w:rPr>
        <w:t xml:space="preserve">able </w:t>
      </w:r>
      <w:r w:rsidR="00AF204F">
        <w:rPr>
          <w:szCs w:val="24"/>
        </w:rPr>
        <w:t xml:space="preserve">to implement </w:t>
      </w:r>
      <w:r w:rsidRPr="00AF204F">
        <w:rPr>
          <w:szCs w:val="24"/>
        </w:rPr>
        <w:t>a moderate fiscal stimulus</w:t>
      </w:r>
      <w:r w:rsidR="00AF204F">
        <w:rPr>
          <w:szCs w:val="24"/>
        </w:rPr>
        <w:t xml:space="preserve"> and monetary easing; at the same time, they could allow for exchange rate flexibility, which could operate as a shock absorber;  </w:t>
      </w:r>
      <w:r w:rsidR="00E41937">
        <w:rPr>
          <w:szCs w:val="24"/>
        </w:rPr>
        <w:t>while using</w:t>
      </w:r>
      <w:r w:rsidRPr="00AF204F">
        <w:rPr>
          <w:szCs w:val="24"/>
        </w:rPr>
        <w:t xml:space="preserve"> existing reserves buffers to mitigate </w:t>
      </w:r>
      <w:r w:rsidR="00E41937">
        <w:rPr>
          <w:szCs w:val="24"/>
        </w:rPr>
        <w:t xml:space="preserve">excessive </w:t>
      </w:r>
      <w:r w:rsidRPr="00AF204F">
        <w:rPr>
          <w:szCs w:val="24"/>
        </w:rPr>
        <w:t>exchange rate volatility, which could be warranted given Armenia</w:t>
      </w:r>
      <w:r w:rsidR="00E41937">
        <w:rPr>
          <w:szCs w:val="24"/>
        </w:rPr>
        <w:t xml:space="preserve">’s high level of dollarization; simultaneously, the authorities should focus on </w:t>
      </w:r>
      <w:r w:rsidRPr="00AF204F">
        <w:rPr>
          <w:szCs w:val="24"/>
        </w:rPr>
        <w:t xml:space="preserve">accelerating </w:t>
      </w:r>
      <w:r w:rsidR="00E41937">
        <w:rPr>
          <w:szCs w:val="24"/>
        </w:rPr>
        <w:t>structural reforms</w:t>
      </w:r>
      <w:r w:rsidRPr="00AF204F">
        <w:rPr>
          <w:szCs w:val="24"/>
        </w:rPr>
        <w:t xml:space="preserve"> to increase growth and diversify export destinations and products.</w:t>
      </w:r>
    </w:p>
    <w:p w:rsidR="00E41937" w:rsidRPr="00E41937" w:rsidRDefault="00E41937" w:rsidP="00E41937">
      <w:pPr>
        <w:pStyle w:val="ListParagraph"/>
        <w:rPr>
          <w:szCs w:val="24"/>
        </w:rPr>
      </w:pPr>
    </w:p>
    <w:p w:rsidR="00E41937" w:rsidRPr="00E41937" w:rsidRDefault="00E41937" w:rsidP="00AF204F">
      <w:pPr>
        <w:pStyle w:val="ListParagraph"/>
        <w:numPr>
          <w:ilvl w:val="6"/>
          <w:numId w:val="11"/>
        </w:numPr>
        <w:tabs>
          <w:tab w:val="clear" w:pos="3960"/>
          <w:tab w:val="left" w:pos="0"/>
          <w:tab w:val="num" w:pos="720"/>
        </w:tabs>
        <w:autoSpaceDE w:val="0"/>
        <w:autoSpaceDN w:val="0"/>
        <w:adjustRightInd w:val="0"/>
        <w:spacing w:after="120"/>
        <w:ind w:left="720"/>
        <w:rPr>
          <w:i/>
          <w:szCs w:val="24"/>
        </w:rPr>
      </w:pPr>
      <w:r w:rsidRPr="00E41937">
        <w:rPr>
          <w:i/>
          <w:szCs w:val="24"/>
        </w:rPr>
        <w:t>over the medium term</w:t>
      </w:r>
      <w:r>
        <w:rPr>
          <w:i/>
          <w:szCs w:val="24"/>
        </w:rPr>
        <w:t xml:space="preserve">, once the effects of the shock </w:t>
      </w:r>
      <w:r w:rsidR="00EB0EB1">
        <w:rPr>
          <w:i/>
          <w:szCs w:val="24"/>
        </w:rPr>
        <w:t>have waned</w:t>
      </w:r>
      <w:r>
        <w:rPr>
          <w:i/>
          <w:szCs w:val="24"/>
        </w:rPr>
        <w:t xml:space="preserve">, </w:t>
      </w:r>
      <w:r>
        <w:rPr>
          <w:szCs w:val="24"/>
        </w:rPr>
        <w:t xml:space="preserve">the authorities should focus their efforts on rebuilding buffers, by adopting a fiscal consolidation strategy and a plan to rebuild the stock of international reserves, while continuing with the implementation of structural reforms. </w:t>
      </w:r>
    </w:p>
    <w:p w:rsidR="000B4F9F" w:rsidRDefault="000B4F9F">
      <w:pPr>
        <w:rPr>
          <w:szCs w:val="24"/>
        </w:rPr>
      </w:pPr>
      <w:r>
        <w:rPr>
          <w:szCs w:val="24"/>
        </w:rPr>
        <w:br w:type="page"/>
      </w:r>
    </w:p>
    <w:p w:rsidR="003A6A25" w:rsidRPr="00922244" w:rsidRDefault="003A6A25" w:rsidP="003A6A25">
      <w:pPr>
        <w:pStyle w:val="ListParagraph"/>
        <w:tabs>
          <w:tab w:val="left" w:pos="0"/>
        </w:tabs>
        <w:autoSpaceDE w:val="0"/>
        <w:autoSpaceDN w:val="0"/>
        <w:adjustRightInd w:val="0"/>
        <w:spacing w:after="120"/>
        <w:ind w:left="0"/>
        <w:jc w:val="center"/>
        <w:rPr>
          <w:b/>
          <w:szCs w:val="24"/>
        </w:rPr>
      </w:pPr>
      <w:r w:rsidRPr="00922244">
        <w:rPr>
          <w:b/>
          <w:szCs w:val="24"/>
        </w:rPr>
        <w:lastRenderedPageBreak/>
        <w:t>Annex I: Brief Review of Literature on Spillovers</w:t>
      </w:r>
    </w:p>
    <w:p w:rsidR="003A6A25" w:rsidRPr="00922244" w:rsidRDefault="003A6A25" w:rsidP="003A6A25">
      <w:pPr>
        <w:pStyle w:val="ListParagraph"/>
        <w:tabs>
          <w:tab w:val="left" w:pos="0"/>
        </w:tabs>
        <w:autoSpaceDE w:val="0"/>
        <w:autoSpaceDN w:val="0"/>
        <w:adjustRightInd w:val="0"/>
        <w:spacing w:after="120"/>
        <w:ind w:left="0"/>
        <w:rPr>
          <w:b/>
          <w:szCs w:val="24"/>
        </w:rPr>
      </w:pPr>
    </w:p>
    <w:p w:rsidR="003A6A25" w:rsidRPr="00922244" w:rsidRDefault="003A6A25" w:rsidP="003A6A25">
      <w:pPr>
        <w:tabs>
          <w:tab w:val="left" w:pos="0"/>
        </w:tabs>
        <w:autoSpaceDE w:val="0"/>
        <w:autoSpaceDN w:val="0"/>
        <w:adjustRightInd w:val="0"/>
        <w:spacing w:after="120"/>
        <w:rPr>
          <w:szCs w:val="24"/>
        </w:rPr>
      </w:pPr>
      <w:r w:rsidRPr="00922244">
        <w:rPr>
          <w:szCs w:val="24"/>
        </w:rPr>
        <w:t xml:space="preserve">The assessment of economic spillovers from global shocks and across countries </w:t>
      </w:r>
      <w:r w:rsidR="000835C9">
        <w:rPr>
          <w:szCs w:val="24"/>
        </w:rPr>
        <w:t>is</w:t>
      </w:r>
      <w:r w:rsidR="000835C9" w:rsidRPr="00922244">
        <w:rPr>
          <w:szCs w:val="24"/>
        </w:rPr>
        <w:t xml:space="preserve"> </w:t>
      </w:r>
      <w:r w:rsidRPr="00922244">
        <w:rPr>
          <w:szCs w:val="24"/>
        </w:rPr>
        <w:t xml:space="preserve">an area of considerable interest. The questions addressed in our paper have been studied by </w:t>
      </w:r>
      <w:r w:rsidR="000835C9">
        <w:rPr>
          <w:szCs w:val="24"/>
        </w:rPr>
        <w:t xml:space="preserve">a wide range of </w:t>
      </w:r>
      <w:r w:rsidRPr="00922244">
        <w:rPr>
          <w:szCs w:val="24"/>
        </w:rPr>
        <w:t xml:space="preserve">authors for different countries. </w:t>
      </w:r>
    </w:p>
    <w:p w:rsidR="003A6A25" w:rsidRPr="00922244" w:rsidRDefault="003A6A25" w:rsidP="003A6A25">
      <w:pPr>
        <w:tabs>
          <w:tab w:val="left" w:pos="0"/>
        </w:tabs>
        <w:autoSpaceDE w:val="0"/>
        <w:autoSpaceDN w:val="0"/>
        <w:adjustRightInd w:val="0"/>
        <w:spacing w:after="120"/>
        <w:rPr>
          <w:i/>
          <w:szCs w:val="24"/>
        </w:rPr>
      </w:pPr>
      <w:r w:rsidRPr="00922244">
        <w:rPr>
          <w:i/>
          <w:szCs w:val="24"/>
        </w:rPr>
        <w:t>Categorization of global shocks</w:t>
      </w:r>
    </w:p>
    <w:p w:rsidR="003A6A25" w:rsidRPr="00922244" w:rsidDel="00405F8D" w:rsidRDefault="000835C9" w:rsidP="003A6A25">
      <w:pPr>
        <w:tabs>
          <w:tab w:val="left" w:pos="0"/>
        </w:tabs>
        <w:autoSpaceDE w:val="0"/>
        <w:autoSpaceDN w:val="0"/>
        <w:adjustRightInd w:val="0"/>
        <w:spacing w:after="120"/>
        <w:rPr>
          <w:szCs w:val="24"/>
        </w:rPr>
      </w:pPr>
      <w:r>
        <w:rPr>
          <w:szCs w:val="24"/>
        </w:rPr>
        <w:t>A</w:t>
      </w:r>
      <w:r w:rsidR="003A6A25" w:rsidRPr="00922244">
        <w:rPr>
          <w:szCs w:val="24"/>
        </w:rPr>
        <w:t xml:space="preserve"> categorization </w:t>
      </w:r>
      <w:r>
        <w:rPr>
          <w:szCs w:val="24"/>
        </w:rPr>
        <w:t xml:space="preserve">of shocks </w:t>
      </w:r>
      <w:r w:rsidR="003A6A25" w:rsidRPr="00922244">
        <w:rPr>
          <w:szCs w:val="24"/>
        </w:rPr>
        <w:t xml:space="preserve">is important in order to </w:t>
      </w:r>
      <w:r w:rsidR="00D20873">
        <w:rPr>
          <w:szCs w:val="24"/>
        </w:rPr>
        <w:t xml:space="preserve">identify </w:t>
      </w:r>
      <w:r w:rsidR="003A6A25" w:rsidRPr="00922244">
        <w:rPr>
          <w:szCs w:val="24"/>
        </w:rPr>
        <w:t xml:space="preserve">shocks </w:t>
      </w:r>
      <w:r w:rsidR="003A6A25" w:rsidRPr="00922244" w:rsidDel="00405F8D">
        <w:rPr>
          <w:szCs w:val="24"/>
        </w:rPr>
        <w:t>in a systemic way</w:t>
      </w:r>
      <w:r w:rsidR="003A6A25" w:rsidRPr="00922244">
        <w:rPr>
          <w:szCs w:val="24"/>
        </w:rPr>
        <w:t xml:space="preserve">. </w:t>
      </w:r>
      <w:r>
        <w:rPr>
          <w:szCs w:val="24"/>
        </w:rPr>
        <w:t>I</w:t>
      </w:r>
      <w:r w:rsidR="003A6A25" w:rsidRPr="00922244">
        <w:rPr>
          <w:szCs w:val="24"/>
        </w:rPr>
        <w:t xml:space="preserve">t </w:t>
      </w:r>
      <w:r w:rsidR="003A6A25" w:rsidRPr="00922244" w:rsidDel="00405F8D">
        <w:rPr>
          <w:szCs w:val="24"/>
        </w:rPr>
        <w:t xml:space="preserve">is useful to distinguish between the </w:t>
      </w:r>
      <w:r w:rsidR="003A6A25" w:rsidRPr="00922244" w:rsidDel="00405F8D">
        <w:rPr>
          <w:i/>
          <w:iCs/>
          <w:szCs w:val="24"/>
        </w:rPr>
        <w:t>source</w:t>
      </w:r>
      <w:r w:rsidR="003A6A25" w:rsidRPr="00922244" w:rsidDel="00405F8D">
        <w:rPr>
          <w:iCs/>
          <w:szCs w:val="24"/>
        </w:rPr>
        <w:t xml:space="preserve"> </w:t>
      </w:r>
      <w:r w:rsidR="003A6A25" w:rsidRPr="00922244" w:rsidDel="00405F8D">
        <w:rPr>
          <w:szCs w:val="24"/>
        </w:rPr>
        <w:t xml:space="preserve">of </w:t>
      </w:r>
      <w:r w:rsidR="003A6A25" w:rsidRPr="00922244">
        <w:rPr>
          <w:szCs w:val="24"/>
        </w:rPr>
        <w:t>shock</w:t>
      </w:r>
      <w:r w:rsidR="003A6A25" w:rsidRPr="00922244" w:rsidDel="00405F8D">
        <w:rPr>
          <w:szCs w:val="24"/>
        </w:rPr>
        <w:t xml:space="preserve"> and </w:t>
      </w:r>
      <w:r w:rsidR="003A6A25" w:rsidRPr="00922244">
        <w:rPr>
          <w:szCs w:val="24"/>
        </w:rPr>
        <w:t xml:space="preserve">the </w:t>
      </w:r>
      <w:r w:rsidR="003A6A25" w:rsidRPr="00922244" w:rsidDel="00405F8D">
        <w:rPr>
          <w:i/>
          <w:iCs/>
          <w:szCs w:val="24"/>
        </w:rPr>
        <w:t>transmission channels</w:t>
      </w:r>
      <w:r w:rsidR="003A6A25" w:rsidRPr="00922244" w:rsidDel="00405F8D">
        <w:rPr>
          <w:iCs/>
          <w:szCs w:val="24"/>
        </w:rPr>
        <w:t xml:space="preserve"> </w:t>
      </w:r>
      <w:r w:rsidR="003A6A25" w:rsidRPr="00922244" w:rsidDel="00405F8D">
        <w:rPr>
          <w:szCs w:val="24"/>
        </w:rPr>
        <w:t xml:space="preserve">through which shocks operate. </w:t>
      </w:r>
      <w:r w:rsidR="003A6A25" w:rsidRPr="00922244">
        <w:rPr>
          <w:szCs w:val="24"/>
        </w:rPr>
        <w:t>As regards the sources, shock</w:t>
      </w:r>
      <w:r>
        <w:rPr>
          <w:szCs w:val="24"/>
        </w:rPr>
        <w:t xml:space="preserve">s are </w:t>
      </w:r>
      <w:r w:rsidR="003A6A25" w:rsidRPr="00922244">
        <w:rPr>
          <w:szCs w:val="24"/>
        </w:rPr>
        <w:t>usually</w:t>
      </w:r>
      <w:r w:rsidR="003A6A25" w:rsidRPr="00922244" w:rsidDel="00405F8D">
        <w:rPr>
          <w:szCs w:val="24"/>
        </w:rPr>
        <w:t xml:space="preserve"> associated </w:t>
      </w:r>
      <w:r>
        <w:rPr>
          <w:szCs w:val="24"/>
        </w:rPr>
        <w:t xml:space="preserve">with </w:t>
      </w:r>
      <w:r w:rsidR="003A6A25" w:rsidRPr="00922244">
        <w:rPr>
          <w:szCs w:val="24"/>
        </w:rPr>
        <w:t xml:space="preserve">a combination of </w:t>
      </w:r>
      <w:r w:rsidR="003A6A25" w:rsidRPr="00922244" w:rsidDel="00405F8D">
        <w:rPr>
          <w:szCs w:val="24"/>
        </w:rPr>
        <w:t>circumstances</w:t>
      </w:r>
      <w:r w:rsidR="003A6A25" w:rsidRPr="00922244">
        <w:rPr>
          <w:szCs w:val="24"/>
        </w:rPr>
        <w:t xml:space="preserve"> that </w:t>
      </w:r>
      <w:r>
        <w:rPr>
          <w:szCs w:val="24"/>
        </w:rPr>
        <w:t xml:space="preserve">are </w:t>
      </w:r>
      <w:r w:rsidR="003A6A25" w:rsidRPr="00922244">
        <w:rPr>
          <w:szCs w:val="24"/>
        </w:rPr>
        <w:t>difficult to disentangle</w:t>
      </w:r>
      <w:r w:rsidR="003A6A25" w:rsidRPr="00922244" w:rsidDel="00405F8D">
        <w:rPr>
          <w:szCs w:val="24"/>
        </w:rPr>
        <w:t xml:space="preserve">. </w:t>
      </w:r>
      <w:r>
        <w:rPr>
          <w:szCs w:val="24"/>
        </w:rPr>
        <w:t>S</w:t>
      </w:r>
      <w:r w:rsidR="003A6A25" w:rsidRPr="00922244">
        <w:rPr>
          <w:szCs w:val="24"/>
        </w:rPr>
        <w:t xml:space="preserve">ome studies, such as </w:t>
      </w:r>
      <w:r w:rsidR="003A6A25" w:rsidRPr="00922244" w:rsidDel="00405F8D">
        <w:rPr>
          <w:szCs w:val="24"/>
        </w:rPr>
        <w:t>Chowla, Quaglietti and Rachel (2014)</w:t>
      </w:r>
      <w:r w:rsidR="003A6A25" w:rsidRPr="00922244">
        <w:rPr>
          <w:szCs w:val="24"/>
        </w:rPr>
        <w:t xml:space="preserve"> have proposed a categorization of global shocks </w:t>
      </w:r>
      <w:r>
        <w:rPr>
          <w:szCs w:val="24"/>
        </w:rPr>
        <w:t>as</w:t>
      </w:r>
      <w:r w:rsidR="003A6A25" w:rsidRPr="00922244">
        <w:rPr>
          <w:szCs w:val="24"/>
        </w:rPr>
        <w:t>:</w:t>
      </w:r>
    </w:p>
    <w:p w:rsidR="00FA16B9" w:rsidRDefault="003A6A25" w:rsidP="00FA16B9">
      <w:pPr>
        <w:pStyle w:val="ListBullet"/>
      </w:pPr>
      <w:r w:rsidRPr="00922244" w:rsidDel="00405F8D">
        <w:rPr>
          <w:bCs/>
          <w:i/>
        </w:rPr>
        <w:t>World demand shocks</w:t>
      </w:r>
      <w:r w:rsidRPr="00922244" w:rsidDel="00405F8D">
        <w:rPr>
          <w:b/>
          <w:bCs/>
        </w:rPr>
        <w:t xml:space="preserve">. </w:t>
      </w:r>
      <w:r w:rsidRPr="00922244" w:rsidDel="00405F8D">
        <w:t xml:space="preserve">These </w:t>
      </w:r>
      <w:r w:rsidRPr="00922244">
        <w:t xml:space="preserve">shocks </w:t>
      </w:r>
      <w:r w:rsidRPr="00922244" w:rsidDel="00405F8D">
        <w:t xml:space="preserve">are associated with a rise or a decline in spending and confidence </w:t>
      </w:r>
      <w:r w:rsidRPr="00922244">
        <w:t>in the global economy</w:t>
      </w:r>
      <w:r w:rsidRPr="00922244" w:rsidDel="00405F8D">
        <w:t xml:space="preserve">. </w:t>
      </w:r>
      <w:r w:rsidRPr="00922244">
        <w:t xml:space="preserve">They </w:t>
      </w:r>
      <w:r w:rsidRPr="00922244" w:rsidDel="00405F8D">
        <w:t xml:space="preserve">include changes </w:t>
      </w:r>
      <w:r w:rsidRPr="00922244">
        <w:t xml:space="preserve">in the </w:t>
      </w:r>
      <w:r w:rsidRPr="00922244" w:rsidDel="00405F8D">
        <w:t xml:space="preserve">fiscal plans of </w:t>
      </w:r>
      <w:r w:rsidRPr="00922244">
        <w:t>major countries or geographical areas</w:t>
      </w:r>
      <w:r w:rsidRPr="00922244" w:rsidDel="00405F8D">
        <w:t xml:space="preserve">, as well as changes </w:t>
      </w:r>
      <w:r w:rsidRPr="00922244">
        <w:t xml:space="preserve">in the level of confidence of </w:t>
      </w:r>
      <w:r w:rsidRPr="00922244" w:rsidDel="00405F8D">
        <w:t>firms and household</w:t>
      </w:r>
      <w:r w:rsidRPr="00922244">
        <w:t xml:space="preserve">s </w:t>
      </w:r>
      <w:r w:rsidRPr="00922244" w:rsidDel="00405F8D">
        <w:t>and th</w:t>
      </w:r>
      <w:r w:rsidRPr="00922244">
        <w:t xml:space="preserve">eir </w:t>
      </w:r>
      <w:r w:rsidRPr="00922244" w:rsidDel="00405F8D">
        <w:t>appetite to spend, hire</w:t>
      </w:r>
      <w:r w:rsidRPr="00922244">
        <w:t>,</w:t>
      </w:r>
      <w:r w:rsidRPr="00922244" w:rsidDel="00405F8D">
        <w:t xml:space="preserve"> invest</w:t>
      </w:r>
      <w:r w:rsidRPr="00922244">
        <w:t>, and borrow</w:t>
      </w:r>
      <w:r w:rsidRPr="00922244" w:rsidDel="00405F8D">
        <w:t>.</w:t>
      </w:r>
    </w:p>
    <w:p w:rsidR="00FA16B9" w:rsidRDefault="003A6A25" w:rsidP="00FA16B9">
      <w:pPr>
        <w:pStyle w:val="ListBullet"/>
      </w:pPr>
      <w:r w:rsidRPr="00922244" w:rsidDel="00405F8D">
        <w:rPr>
          <w:bCs/>
          <w:i/>
        </w:rPr>
        <w:t>World supply/price shocks.</w:t>
      </w:r>
      <w:r w:rsidRPr="00922244" w:rsidDel="00405F8D">
        <w:rPr>
          <w:b/>
          <w:bCs/>
        </w:rPr>
        <w:t xml:space="preserve"> </w:t>
      </w:r>
      <w:r w:rsidRPr="00922244" w:rsidDel="00405F8D">
        <w:t>These shocks originate in the production sector of the global economy and affect the global supply and prices of goods and services. For example, an unexpected fall in the supply of a commodity that is traded globally would likely trigger a rise in its price.</w:t>
      </w:r>
    </w:p>
    <w:p w:rsidR="00FA16B9" w:rsidRDefault="003A6A25" w:rsidP="00FA16B9">
      <w:pPr>
        <w:pStyle w:val="ListBullet"/>
      </w:pPr>
      <w:r w:rsidRPr="00922244" w:rsidDel="00405F8D">
        <w:rPr>
          <w:bCs/>
          <w:i/>
        </w:rPr>
        <w:t>World financial shocks.</w:t>
      </w:r>
      <w:r w:rsidRPr="00922244" w:rsidDel="00405F8D">
        <w:rPr>
          <w:b/>
          <w:bCs/>
        </w:rPr>
        <w:t xml:space="preserve"> </w:t>
      </w:r>
      <w:r w:rsidRPr="00922244" w:rsidDel="00405F8D">
        <w:t>These occur in the global financial system, such as increased stress in the international banking system or financial markets. They might relate, among other things, to changes in risk</w:t>
      </w:r>
      <w:r w:rsidRPr="00922244">
        <w:t xml:space="preserve"> </w:t>
      </w:r>
      <w:r w:rsidR="00EB0EB1" w:rsidRPr="00922244">
        <w:t>premi</w:t>
      </w:r>
      <w:r w:rsidR="00EB0EB1">
        <w:t>um</w:t>
      </w:r>
      <w:r w:rsidRPr="00922244" w:rsidDel="00405F8D">
        <w:t>, driven by investors</w:t>
      </w:r>
      <w:r w:rsidRPr="00922244">
        <w:t>’</w:t>
      </w:r>
      <w:r w:rsidRPr="00922244" w:rsidDel="00405F8D">
        <w:t xml:space="preserve"> </w:t>
      </w:r>
      <w:r w:rsidRPr="00922244">
        <w:t xml:space="preserve">decisions to </w:t>
      </w:r>
      <w:r w:rsidRPr="00922244" w:rsidDel="00405F8D">
        <w:t xml:space="preserve">reassess their perceptions </w:t>
      </w:r>
      <w:r w:rsidRPr="00922244">
        <w:t xml:space="preserve">on a certain </w:t>
      </w:r>
      <w:r w:rsidRPr="00922244" w:rsidDel="00405F8D">
        <w:t>asset class</w:t>
      </w:r>
      <w:r w:rsidRPr="00922244">
        <w:t>, including holdings of fore</w:t>
      </w:r>
      <w:r w:rsidR="000835C9">
        <w:t>ign exchange</w:t>
      </w:r>
      <w:r w:rsidRPr="00922244" w:rsidDel="00405F8D">
        <w:t>.</w:t>
      </w:r>
      <w:r w:rsidRPr="00922244">
        <w:t xml:space="preserve"> </w:t>
      </w:r>
      <w:r w:rsidRPr="00922244" w:rsidDel="00405F8D">
        <w:t>Categori</w:t>
      </w:r>
      <w:r w:rsidRPr="00922244">
        <w:t>z</w:t>
      </w:r>
      <w:r w:rsidRPr="00922244" w:rsidDel="00405F8D">
        <w:t xml:space="preserve">ation of financial shocks is supported by much of the theoretical literature: several studies have highlighted the importance of financial frictions in driving business </w:t>
      </w:r>
      <w:r w:rsidRPr="00E016B0" w:rsidDel="00405F8D">
        <w:t xml:space="preserve">cycle </w:t>
      </w:r>
      <w:r w:rsidRPr="00E016B0">
        <w:t>fluctuations</w:t>
      </w:r>
      <w:r w:rsidRPr="00E016B0">
        <w:rPr>
          <w:rStyle w:val="FootnoteReference"/>
          <w:szCs w:val="24"/>
        </w:rPr>
        <w:footnoteReference w:id="7"/>
      </w:r>
      <w:r w:rsidRPr="00E016B0" w:rsidDel="00405F8D">
        <w:t>, while</w:t>
      </w:r>
      <w:r w:rsidRPr="00922244" w:rsidDel="00405F8D">
        <w:t xml:space="preserve"> others </w:t>
      </w:r>
      <w:r w:rsidR="000835C9" w:rsidRPr="00922244" w:rsidDel="00405F8D">
        <w:t>emphasi</w:t>
      </w:r>
      <w:r w:rsidR="000835C9">
        <w:t xml:space="preserve">ze </w:t>
      </w:r>
      <w:r w:rsidRPr="00922244" w:rsidDel="00405F8D">
        <w:t>that financial crises have particularly large effects on output. According to Reinhart and Rogoff (2009), financial crises are associated with larger output losses and slower recoveries than more “conventional” recessions (such as those driven by central banks actively raising interest rates to dampen demand). Hills, Thomas and Dimsdale (2010) argue that the recent UK recession had a defining characteristic that the financial sector was both the source and propagator of the crisis. Given this, it is logical to capture the role of financial shocks separately to more tradit</w:t>
      </w:r>
      <w:r w:rsidRPr="00922244">
        <w:t xml:space="preserve">ional demand and supply shocks.  </w:t>
      </w:r>
    </w:p>
    <w:p w:rsidR="003A6A25" w:rsidRPr="00922244" w:rsidRDefault="003A6A25" w:rsidP="003A6A25">
      <w:pPr>
        <w:tabs>
          <w:tab w:val="left" w:pos="0"/>
        </w:tabs>
        <w:autoSpaceDE w:val="0"/>
        <w:autoSpaceDN w:val="0"/>
        <w:adjustRightInd w:val="0"/>
        <w:spacing w:after="120"/>
        <w:rPr>
          <w:i/>
          <w:szCs w:val="24"/>
        </w:rPr>
      </w:pPr>
      <w:r w:rsidRPr="00922244">
        <w:rPr>
          <w:i/>
          <w:szCs w:val="24"/>
        </w:rPr>
        <w:t>Econometric studies on spillovers form global shocks</w:t>
      </w:r>
    </w:p>
    <w:p w:rsidR="003A6A25" w:rsidRPr="00922244" w:rsidRDefault="003A6A25" w:rsidP="003A6A25">
      <w:pPr>
        <w:tabs>
          <w:tab w:val="left" w:pos="0"/>
        </w:tabs>
        <w:autoSpaceDE w:val="0"/>
        <w:autoSpaceDN w:val="0"/>
        <w:adjustRightInd w:val="0"/>
        <w:spacing w:after="120"/>
        <w:rPr>
          <w:szCs w:val="24"/>
        </w:rPr>
      </w:pPr>
      <w:r w:rsidRPr="00922244">
        <w:rPr>
          <w:szCs w:val="24"/>
        </w:rPr>
        <w:t xml:space="preserve">A BVAR model presented by Österholm and Zettelmeyer examined the effect of external shocks to output fluctuations in Latin America. They found that 50 to 60 percent of the variation in Latin American GDP growth was accounted for by external shocks. Conditional </w:t>
      </w:r>
      <w:r w:rsidRPr="00922244">
        <w:rPr>
          <w:szCs w:val="24"/>
        </w:rPr>
        <w:lastRenderedPageBreak/>
        <w:t>forecasts for a variety of external scenarios suggested that Latin American growth was robust to moderate declines in commodity prices and U.S. or world growth, but sensitive to more extreme shocks, particularly a combined external slowdown and tightening of world financial conditions.</w:t>
      </w:r>
    </w:p>
    <w:p w:rsidR="003A6A25" w:rsidRPr="00922244" w:rsidRDefault="000835C9" w:rsidP="003A6A25">
      <w:pPr>
        <w:tabs>
          <w:tab w:val="left" w:pos="0"/>
        </w:tabs>
        <w:autoSpaceDE w:val="0"/>
        <w:autoSpaceDN w:val="0"/>
        <w:adjustRightInd w:val="0"/>
        <w:spacing w:after="120"/>
        <w:rPr>
          <w:szCs w:val="24"/>
        </w:rPr>
      </w:pPr>
      <w:r>
        <w:rPr>
          <w:szCs w:val="24"/>
        </w:rPr>
        <w:t xml:space="preserve">Bayoumi and </w:t>
      </w:r>
      <w:r w:rsidR="003A6A25" w:rsidRPr="00922244">
        <w:rPr>
          <w:szCs w:val="24"/>
        </w:rPr>
        <w:t xml:space="preserve">Swiston examined linkages across North America by estimating the size of spillovers from the major regions of the world (the </w:t>
      </w:r>
      <w:r>
        <w:rPr>
          <w:szCs w:val="24"/>
        </w:rPr>
        <w:t>U.S.</w:t>
      </w:r>
      <w:r w:rsidR="003A6A25" w:rsidRPr="00922244">
        <w:rPr>
          <w:szCs w:val="24"/>
        </w:rPr>
        <w:t xml:space="preserve">, </w:t>
      </w:r>
      <w:r>
        <w:rPr>
          <w:szCs w:val="24"/>
        </w:rPr>
        <w:t xml:space="preserve">Euro </w:t>
      </w:r>
      <w:r w:rsidR="003A6A25" w:rsidRPr="00922244">
        <w:rPr>
          <w:szCs w:val="24"/>
        </w:rPr>
        <w:t xml:space="preserve">area, Japan, and the rest of the world) to Canada and Mexico, and decomposed the impact of these spillovers into trade, commodity price, and financial market channels. For Canada, a 1 percent shock to U.S. real GDP shifts Canadian real GDP by some 0.75 percentage point in the same </w:t>
      </w:r>
      <w:r w:rsidR="00D8231B" w:rsidRPr="00922244">
        <w:rPr>
          <w:szCs w:val="24"/>
        </w:rPr>
        <w:t>direction</w:t>
      </w:r>
      <w:r w:rsidR="00D8231B">
        <w:rPr>
          <w:szCs w:val="24"/>
        </w:rPr>
        <w:t xml:space="preserve">, </w:t>
      </w:r>
      <w:r w:rsidR="003A6A25" w:rsidRPr="00922244">
        <w:rPr>
          <w:szCs w:val="24"/>
        </w:rPr>
        <w:t>with financial spillovers more important than trade in recent decades.</w:t>
      </w:r>
    </w:p>
    <w:p w:rsidR="003A6A25" w:rsidRPr="00922244" w:rsidRDefault="003A6A25" w:rsidP="003A6A25">
      <w:pPr>
        <w:tabs>
          <w:tab w:val="left" w:pos="0"/>
        </w:tabs>
        <w:autoSpaceDE w:val="0"/>
        <w:autoSpaceDN w:val="0"/>
        <w:adjustRightInd w:val="0"/>
        <w:spacing w:after="120"/>
        <w:rPr>
          <w:szCs w:val="24"/>
        </w:rPr>
      </w:pPr>
      <w:r w:rsidRPr="00922244">
        <w:rPr>
          <w:szCs w:val="24"/>
        </w:rPr>
        <w:t xml:space="preserve">De Bock, Florea, and Toujas-Bernaté  examined the economic and financial linkages between Morocco, Tunisia and their European partners using </w:t>
      </w:r>
      <w:r w:rsidR="00D8231B">
        <w:rPr>
          <w:szCs w:val="24"/>
        </w:rPr>
        <w:t xml:space="preserve">an </w:t>
      </w:r>
      <w:r w:rsidRPr="00922244">
        <w:rPr>
          <w:szCs w:val="24"/>
        </w:rPr>
        <w:t xml:space="preserve">SVAR. For Tunisia, exports and tourism appeared to be the major transmission channels. In Morocco, exports, remittances and tourism played relatively equal roles. </w:t>
      </w:r>
    </w:p>
    <w:p w:rsidR="003A6A25" w:rsidRPr="00922244" w:rsidRDefault="003A6A25" w:rsidP="003A6A25">
      <w:pPr>
        <w:tabs>
          <w:tab w:val="left" w:pos="0"/>
          <w:tab w:val="left" w:pos="360"/>
        </w:tabs>
        <w:autoSpaceDE w:val="0"/>
        <w:autoSpaceDN w:val="0"/>
        <w:adjustRightInd w:val="0"/>
        <w:spacing w:after="120"/>
        <w:rPr>
          <w:szCs w:val="24"/>
        </w:rPr>
      </w:pPr>
      <w:r w:rsidRPr="00922244">
        <w:rPr>
          <w:bCs/>
          <w:szCs w:val="24"/>
        </w:rPr>
        <w:t>Adler and Sosa</w:t>
      </w:r>
      <w:r w:rsidRPr="00922244">
        <w:rPr>
          <w:szCs w:val="24"/>
        </w:rPr>
        <w:t xml:space="preserve"> studied the importance of Brazil’s influence on its neighboring economies, documenting trade linkages over the last two decades and quantifying spillover effects in a VAR setting. While trade linkages with Brazil were significant for the Southern Cone countries (Argentina, Bolivia, Chile, Paraguay, and Uruguay), they were very weak for others.</w:t>
      </w:r>
    </w:p>
    <w:p w:rsidR="003A6A25" w:rsidRPr="00922244" w:rsidRDefault="003A6A25" w:rsidP="003A6A25">
      <w:pPr>
        <w:tabs>
          <w:tab w:val="left" w:pos="0"/>
          <w:tab w:val="left" w:pos="360"/>
        </w:tabs>
        <w:autoSpaceDE w:val="0"/>
        <w:autoSpaceDN w:val="0"/>
        <w:adjustRightInd w:val="0"/>
        <w:spacing w:after="120"/>
        <w:rPr>
          <w:szCs w:val="24"/>
        </w:rPr>
      </w:pPr>
      <w:r w:rsidRPr="00922244">
        <w:rPr>
          <w:szCs w:val="24"/>
        </w:rPr>
        <w:t xml:space="preserve">Dabla-Norris, Espinoza, </w:t>
      </w:r>
      <w:r w:rsidR="00D8231B">
        <w:rPr>
          <w:szCs w:val="24"/>
        </w:rPr>
        <w:t xml:space="preserve">and </w:t>
      </w:r>
      <w:r w:rsidRPr="00922244">
        <w:rPr>
          <w:szCs w:val="24"/>
        </w:rPr>
        <w:t xml:space="preserve">Jahan investigated linkages between low-income countries (LICs) and a narrow group of “Emerging Market leaders”. The paper employed both VAR methodologies and dynamic panel regressions to estimate spillovers from the EM leaders to LICs. For commodity-exporting LICs in </w:t>
      </w:r>
      <w:r w:rsidR="00D8231B">
        <w:rPr>
          <w:szCs w:val="24"/>
        </w:rPr>
        <w:t>s</w:t>
      </w:r>
      <w:r w:rsidR="00D8231B" w:rsidRPr="00922244">
        <w:rPr>
          <w:szCs w:val="24"/>
        </w:rPr>
        <w:t>ub</w:t>
      </w:r>
      <w:r w:rsidRPr="00922244">
        <w:rPr>
          <w:szCs w:val="24"/>
        </w:rPr>
        <w:t xml:space="preserve">-Saharan Africa and the Middle East, terms of trade shocks and demand from the emerging market leaders were the main channels of transmission of foreign shocks. </w:t>
      </w:r>
    </w:p>
    <w:p w:rsidR="003A6A25" w:rsidRDefault="00D8231B" w:rsidP="003A6A25">
      <w:pPr>
        <w:tabs>
          <w:tab w:val="left" w:pos="0"/>
          <w:tab w:val="left" w:pos="360"/>
        </w:tabs>
        <w:autoSpaceDE w:val="0"/>
        <w:autoSpaceDN w:val="0"/>
        <w:adjustRightInd w:val="0"/>
        <w:spacing w:after="120"/>
        <w:rPr>
          <w:szCs w:val="24"/>
        </w:rPr>
      </w:pPr>
      <w:r>
        <w:rPr>
          <w:szCs w:val="24"/>
        </w:rPr>
        <w:t xml:space="preserve">Finally, </w:t>
      </w:r>
      <w:r w:rsidR="003A6A25" w:rsidRPr="00922244">
        <w:rPr>
          <w:szCs w:val="24"/>
        </w:rPr>
        <w:t xml:space="preserve">Chowla, Quaglietti and Rachel presented model-based estimates </w:t>
      </w:r>
      <w:r>
        <w:rPr>
          <w:szCs w:val="24"/>
        </w:rPr>
        <w:t xml:space="preserve">that </w:t>
      </w:r>
      <w:r w:rsidR="003A6A25" w:rsidRPr="00922244">
        <w:rPr>
          <w:szCs w:val="24"/>
        </w:rPr>
        <w:t>suggested that world shocks have driven around two thirds of the weakness in UK output since 2007.</w:t>
      </w:r>
    </w:p>
    <w:p w:rsidR="00D20873" w:rsidRDefault="00D20873">
      <w:pPr>
        <w:rPr>
          <w:szCs w:val="24"/>
        </w:rPr>
      </w:pPr>
      <w:r>
        <w:rPr>
          <w:szCs w:val="24"/>
        </w:rPr>
        <w:br w:type="page"/>
      </w:r>
    </w:p>
    <w:p w:rsidR="003A6A25" w:rsidRPr="00922244" w:rsidRDefault="003A6A25" w:rsidP="003A6A25">
      <w:pPr>
        <w:pStyle w:val="ListParagraph"/>
        <w:tabs>
          <w:tab w:val="left" w:pos="0"/>
        </w:tabs>
        <w:autoSpaceDE w:val="0"/>
        <w:autoSpaceDN w:val="0"/>
        <w:adjustRightInd w:val="0"/>
        <w:spacing w:after="120"/>
        <w:ind w:left="1080"/>
        <w:jc w:val="center"/>
        <w:rPr>
          <w:b/>
          <w:szCs w:val="24"/>
        </w:rPr>
      </w:pPr>
      <w:r w:rsidRPr="00922244">
        <w:rPr>
          <w:b/>
          <w:smallCaps/>
          <w:szCs w:val="24"/>
        </w:rPr>
        <w:lastRenderedPageBreak/>
        <w:t>REFERENCES</w:t>
      </w:r>
      <w:r w:rsidRPr="00922244">
        <w:rPr>
          <w:b/>
          <w:smallCaps/>
          <w:color w:val="FF0000"/>
          <w:szCs w:val="24"/>
        </w:rPr>
        <w:t xml:space="preserve"> </w:t>
      </w:r>
    </w:p>
    <w:p w:rsidR="003A6A25" w:rsidRPr="00922244" w:rsidRDefault="003A6A25" w:rsidP="003A6A25">
      <w:pPr>
        <w:pStyle w:val="ListParagraph"/>
        <w:tabs>
          <w:tab w:val="left" w:pos="0"/>
        </w:tabs>
        <w:autoSpaceDE w:val="0"/>
        <w:autoSpaceDN w:val="0"/>
        <w:adjustRightInd w:val="0"/>
        <w:ind w:left="0"/>
        <w:rPr>
          <w:szCs w:val="24"/>
        </w:rPr>
      </w:pPr>
    </w:p>
    <w:p w:rsidR="003A6A25" w:rsidRDefault="003A6A25" w:rsidP="003A6A25">
      <w:pPr>
        <w:pStyle w:val="ListParagraph"/>
        <w:tabs>
          <w:tab w:val="left" w:pos="0"/>
        </w:tabs>
        <w:autoSpaceDE w:val="0"/>
        <w:autoSpaceDN w:val="0"/>
        <w:adjustRightInd w:val="0"/>
        <w:spacing w:after="120"/>
        <w:ind w:left="0"/>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Adler, G. and Sosa, S. 2012, “Intra-Regional Spillovers in South America: Is Brazil </w:t>
      </w:r>
    </w:p>
    <w:p w:rsidR="003A6A25" w:rsidRDefault="006D4E7F" w:rsidP="006D4E7F">
      <w:pPr>
        <w:pStyle w:val="ListParagraph"/>
        <w:tabs>
          <w:tab w:val="left" w:pos="0"/>
        </w:tabs>
        <w:autoSpaceDE w:val="0"/>
        <w:autoSpaceDN w:val="0"/>
        <w:adjustRightInd w:val="0"/>
        <w:spacing w:after="120"/>
        <w:ind w:left="0"/>
        <w:jc w:val="both"/>
        <w:rPr>
          <w:szCs w:val="24"/>
        </w:rPr>
      </w:pPr>
      <w:r>
        <w:rPr>
          <w:szCs w:val="24"/>
        </w:rPr>
        <w:t xml:space="preserve">     </w:t>
      </w:r>
      <w:r w:rsidR="00765EC2" w:rsidRPr="00922244">
        <w:rPr>
          <w:szCs w:val="24"/>
        </w:rPr>
        <w:t>Systemic after</w:t>
      </w:r>
      <w:r w:rsidR="003A6A25" w:rsidRPr="00922244">
        <w:rPr>
          <w:szCs w:val="24"/>
        </w:rPr>
        <w:t xml:space="preserve"> All?,” IMF Working Paper 12/145 (Washington).</w:t>
      </w:r>
    </w:p>
    <w:p w:rsidR="003A6A25"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Arslanalp, S. and Poghosyan, T., 2014, ‘Foreign investor flows and sovereign bond yields in </w:t>
      </w:r>
    </w:p>
    <w:p w:rsidR="003A6A25" w:rsidRDefault="006D4E7F" w:rsidP="006D4E7F">
      <w:pPr>
        <w:pStyle w:val="ListParagraph"/>
        <w:tabs>
          <w:tab w:val="left" w:pos="0"/>
        </w:tabs>
        <w:autoSpaceDE w:val="0"/>
        <w:autoSpaceDN w:val="0"/>
        <w:adjustRightInd w:val="0"/>
        <w:spacing w:after="120"/>
        <w:ind w:left="0"/>
        <w:jc w:val="both"/>
        <w:rPr>
          <w:szCs w:val="24"/>
        </w:rPr>
      </w:pPr>
      <w:r>
        <w:rPr>
          <w:szCs w:val="24"/>
        </w:rPr>
        <w:t xml:space="preserve">     </w:t>
      </w:r>
      <w:r w:rsidR="003A6A25" w:rsidRPr="00922244">
        <w:rPr>
          <w:szCs w:val="24"/>
        </w:rPr>
        <w:t>advanced economies’, IMF Working Paper No. 14/27.</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Bayoumi, T. and A. Swiston, 2009, “Foreign Entanglements; Estimating the Source and Size </w:t>
      </w:r>
    </w:p>
    <w:p w:rsidR="003A6A25"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of Spillovers Across Industrial Countries,” IMF Staff Papers, Vol. 56(2), pp. 353–83.</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Blanchard, O. and D. Quah (1989). “The Dynamic Effects of Aggregate Supply and Demand </w:t>
      </w:r>
    </w:p>
    <w:p w:rsidR="003A6A25"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 xml:space="preserve">Disturbances,” </w:t>
      </w:r>
      <w:r w:rsidRPr="00922244">
        <w:rPr>
          <w:i/>
          <w:szCs w:val="24"/>
        </w:rPr>
        <w:t>American Economic Review,</w:t>
      </w:r>
      <w:r w:rsidRPr="00922244">
        <w:rPr>
          <w:szCs w:val="24"/>
        </w:rPr>
        <w:t xml:space="preserve"> 79, 655-673.</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Central Bank of Armenia, 2013, “Financial Stability Report 2013”, Yerevan </w:t>
      </w:r>
    </w:p>
    <w:p w:rsidR="003A6A25" w:rsidRDefault="00E06875" w:rsidP="006D4E7F">
      <w:pPr>
        <w:pStyle w:val="ListParagraph"/>
        <w:tabs>
          <w:tab w:val="left" w:pos="0"/>
        </w:tabs>
        <w:autoSpaceDE w:val="0"/>
        <w:autoSpaceDN w:val="0"/>
        <w:adjustRightInd w:val="0"/>
        <w:spacing w:after="120"/>
        <w:ind w:left="0" w:firstLine="270"/>
        <w:jc w:val="both"/>
        <w:rPr>
          <w:szCs w:val="24"/>
        </w:rPr>
      </w:pPr>
      <w:hyperlink r:id="rId108" w:history="1">
        <w:r w:rsidR="003A6A25" w:rsidRPr="00922244">
          <w:rPr>
            <w:rStyle w:val="Hyperlink"/>
            <w:szCs w:val="24"/>
          </w:rPr>
          <w:t>https://www.cba.am/EN/pperiodicals/fin_stab_14_eng.pdf</w:t>
        </w:r>
      </w:hyperlink>
      <w:r w:rsidR="003A6A25" w:rsidRPr="00922244">
        <w:rPr>
          <w:szCs w:val="24"/>
        </w:rPr>
        <w:t>.</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Chowla,S. Quaglietti, L. and Łukasz, R. (2014) “How Have World Shocks Affected the UK </w:t>
      </w:r>
    </w:p>
    <w:p w:rsidR="003A6A25"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 xml:space="preserve">Economy?” </w:t>
      </w:r>
      <w:hyperlink r:id="rId109" w:anchor="#" w:history="1">
        <w:r w:rsidRPr="00922244">
          <w:rPr>
            <w:i/>
            <w:szCs w:val="24"/>
          </w:rPr>
          <w:t>Bank of England Quarterly Bulletin,</w:t>
        </w:r>
        <w:r w:rsidRPr="00922244">
          <w:rPr>
            <w:szCs w:val="24"/>
          </w:rPr>
          <w:t xml:space="preserve"> 2014 Q2</w:t>
        </w:r>
      </w:hyperlink>
      <w:r w:rsidRPr="00922244">
        <w:rPr>
          <w:szCs w:val="24"/>
        </w:rPr>
        <w:t>.</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De Bock, R. Florea, D., and Toujas-Bernaté, J. 2010, “Spillovers from Europe into </w:t>
      </w:r>
    </w:p>
    <w:p w:rsidR="003A6A25"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Moroccoand Tunisia,” IMF Working Paper 10/238 (Washington).</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Era Dabla-Norris, Raphael Espinoza, Sarwat Jahan, 2012, “Spillovers to Low-Income </w:t>
      </w:r>
    </w:p>
    <w:p w:rsidR="006D4E7F"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 xml:space="preserve">Countries: Importance of Systemic Emerging Markets,” IMF Working Paper 12/49 </w:t>
      </w:r>
    </w:p>
    <w:p w:rsidR="003A6A25"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(Washington).</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Hills, S, Thomas, R and Dimsdale, N (2010), ‘The UK recession in context — what do three </w:t>
      </w:r>
    </w:p>
    <w:p w:rsidR="006D4E7F"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 xml:space="preserve">centuries of data tell us?’, </w:t>
      </w:r>
      <w:r w:rsidRPr="00922244">
        <w:rPr>
          <w:i/>
          <w:szCs w:val="24"/>
        </w:rPr>
        <w:t>Bank of England Quarterly Bulletin,</w:t>
      </w:r>
      <w:r w:rsidRPr="00922244">
        <w:rPr>
          <w:szCs w:val="24"/>
        </w:rPr>
        <w:t xml:space="preserve"> Vol. 50, No. 4, pages 277–</w:t>
      </w:r>
      <w:r w:rsidR="006D4E7F">
        <w:rPr>
          <w:szCs w:val="24"/>
        </w:rPr>
        <w:t xml:space="preserve"> </w:t>
      </w:r>
    </w:p>
    <w:p w:rsidR="006D4E7F"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 xml:space="preserve">91, available at </w:t>
      </w:r>
    </w:p>
    <w:p w:rsidR="003A6A25" w:rsidRDefault="00E06875" w:rsidP="006D4E7F">
      <w:pPr>
        <w:pStyle w:val="ListParagraph"/>
        <w:tabs>
          <w:tab w:val="left" w:pos="0"/>
        </w:tabs>
        <w:autoSpaceDE w:val="0"/>
        <w:autoSpaceDN w:val="0"/>
        <w:adjustRightInd w:val="0"/>
        <w:spacing w:after="120"/>
        <w:ind w:left="0" w:firstLine="270"/>
        <w:jc w:val="both"/>
        <w:rPr>
          <w:szCs w:val="24"/>
        </w:rPr>
      </w:pPr>
      <w:hyperlink r:id="rId110" w:history="1">
        <w:r w:rsidR="003A6A25" w:rsidRPr="00922244">
          <w:rPr>
            <w:rStyle w:val="Hyperlink"/>
          </w:rPr>
          <w:t>www.bankofengland.co.uk/publications/Documents/quarterlybulletin/qb100403.pdf</w:t>
        </w:r>
      </w:hyperlink>
      <w:r w:rsidR="003A6A25" w:rsidRPr="00922244">
        <w:rPr>
          <w:szCs w:val="24"/>
        </w:rPr>
        <w:t>.</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037BD7" w:rsidP="006D4E7F">
      <w:pPr>
        <w:pStyle w:val="ListParagraph"/>
        <w:tabs>
          <w:tab w:val="left" w:pos="0"/>
        </w:tabs>
        <w:autoSpaceDE w:val="0"/>
        <w:autoSpaceDN w:val="0"/>
        <w:adjustRightInd w:val="0"/>
        <w:spacing w:after="120"/>
        <w:ind w:left="0"/>
        <w:jc w:val="both"/>
        <w:rPr>
          <w:szCs w:val="24"/>
        </w:rPr>
      </w:pPr>
      <w:r>
        <w:fldChar w:fldCharType="begin"/>
      </w:r>
      <w:r w:rsidR="007D4175">
        <w:instrText xml:space="preserve"> HYPERLINK "http://www.imf.org/external/pubs/ft/scr/2013/cr1334.pdf" </w:instrText>
      </w:r>
      <w:r>
        <w:fldChar w:fldCharType="separate"/>
      </w:r>
      <w:r w:rsidR="003A6A25" w:rsidRPr="00922244">
        <w:rPr>
          <w:szCs w:val="24"/>
        </w:rPr>
        <w:t xml:space="preserve">International Monetary Fund,  Republic of Armenia: 2012 Article IV Consultation and Fifth </w:t>
      </w:r>
      <w:r w:rsidR="006D4E7F">
        <w:rPr>
          <w:szCs w:val="24"/>
        </w:rPr>
        <w:t xml:space="preserve">  </w:t>
      </w:r>
    </w:p>
    <w:p w:rsidR="003A6A25" w:rsidRDefault="006D4E7F" w:rsidP="006D4E7F">
      <w:pPr>
        <w:pStyle w:val="ListParagraph"/>
        <w:tabs>
          <w:tab w:val="left" w:pos="0"/>
        </w:tabs>
        <w:autoSpaceDE w:val="0"/>
        <w:autoSpaceDN w:val="0"/>
        <w:adjustRightInd w:val="0"/>
        <w:spacing w:after="120"/>
        <w:ind w:left="0"/>
        <w:jc w:val="both"/>
        <w:rPr>
          <w:szCs w:val="24"/>
        </w:rPr>
      </w:pPr>
      <w:r>
        <w:rPr>
          <w:szCs w:val="24"/>
        </w:rPr>
        <w:t xml:space="preserve">    </w:t>
      </w:r>
      <w:r w:rsidR="003A6A25" w:rsidRPr="00922244">
        <w:rPr>
          <w:szCs w:val="24"/>
        </w:rPr>
        <w:t>Reviews</w:t>
      </w:r>
      <w:r w:rsidR="00037BD7">
        <w:rPr>
          <w:szCs w:val="24"/>
        </w:rPr>
        <w:fldChar w:fldCharType="end"/>
      </w:r>
      <w:r w:rsidR="003A6A25" w:rsidRPr="00922244">
        <w:rPr>
          <w:szCs w:val="24"/>
        </w:rPr>
        <w:t xml:space="preserve">, Country Report No. 13/34, </w:t>
      </w:r>
      <w:r w:rsidR="00765EC2" w:rsidRPr="00922244">
        <w:rPr>
          <w:szCs w:val="24"/>
        </w:rPr>
        <w:t>Washington</w:t>
      </w:r>
      <w:r w:rsidR="003A6A25" w:rsidRPr="00922244">
        <w:rPr>
          <w:szCs w:val="24"/>
        </w:rPr>
        <w:t xml:space="preserve"> DC.</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Kiyotaki, N and Moore, J (1997), ‘Credit cycles’, </w:t>
      </w:r>
      <w:r w:rsidRPr="00922244">
        <w:rPr>
          <w:i/>
          <w:szCs w:val="24"/>
        </w:rPr>
        <w:t>Journal of Political Economy</w:t>
      </w:r>
      <w:r w:rsidRPr="00922244">
        <w:rPr>
          <w:szCs w:val="24"/>
        </w:rPr>
        <w:t xml:space="preserve">, Vol. 105, </w:t>
      </w:r>
    </w:p>
    <w:p w:rsidR="003A6A25"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No. 2, pages 211–48.</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3A6A25"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Sims, C (1980), ‘Macroeconomics and reality’, </w:t>
      </w:r>
      <w:r w:rsidRPr="00922244">
        <w:rPr>
          <w:i/>
          <w:szCs w:val="24"/>
        </w:rPr>
        <w:t>Econometrica</w:t>
      </w:r>
      <w:r w:rsidRPr="00922244">
        <w:rPr>
          <w:szCs w:val="24"/>
        </w:rPr>
        <w:t>, Vol. 48, No. 1, pages 1–48.</w:t>
      </w:r>
    </w:p>
    <w:p w:rsidR="003A6A25" w:rsidRPr="00922244" w:rsidRDefault="003A6A25" w:rsidP="006D4E7F">
      <w:pPr>
        <w:pStyle w:val="ListParagraph"/>
        <w:tabs>
          <w:tab w:val="left" w:pos="0"/>
        </w:tabs>
        <w:autoSpaceDE w:val="0"/>
        <w:autoSpaceDN w:val="0"/>
        <w:adjustRightInd w:val="0"/>
        <w:spacing w:after="120"/>
        <w:ind w:left="0"/>
        <w:jc w:val="both"/>
        <w:rPr>
          <w:szCs w:val="24"/>
        </w:rPr>
      </w:pPr>
    </w:p>
    <w:p w:rsidR="006D4E7F" w:rsidRDefault="003A6A25" w:rsidP="006D4E7F">
      <w:pPr>
        <w:pStyle w:val="ListParagraph"/>
        <w:tabs>
          <w:tab w:val="left" w:pos="0"/>
        </w:tabs>
        <w:autoSpaceDE w:val="0"/>
        <w:autoSpaceDN w:val="0"/>
        <w:adjustRightInd w:val="0"/>
        <w:spacing w:after="120"/>
        <w:ind w:left="0"/>
        <w:jc w:val="both"/>
        <w:rPr>
          <w:szCs w:val="24"/>
        </w:rPr>
      </w:pPr>
      <w:r w:rsidRPr="00922244">
        <w:rPr>
          <w:szCs w:val="24"/>
        </w:rPr>
        <w:t xml:space="preserve">Who’s driving whom?: Analyzing external and intra-regional linkages in the Americas / </w:t>
      </w:r>
    </w:p>
    <w:p w:rsidR="006D4E7F"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 xml:space="preserve">Martin Mühleisen, Shaun K. Roache, and Jeromin Zettelmeyer, editors – (Washington, </w:t>
      </w:r>
    </w:p>
    <w:p w:rsidR="003A6A25" w:rsidRPr="00922244" w:rsidRDefault="003A6A25" w:rsidP="006D4E7F">
      <w:pPr>
        <w:pStyle w:val="ListParagraph"/>
        <w:tabs>
          <w:tab w:val="left" w:pos="0"/>
        </w:tabs>
        <w:autoSpaceDE w:val="0"/>
        <w:autoSpaceDN w:val="0"/>
        <w:adjustRightInd w:val="0"/>
        <w:spacing w:after="120"/>
        <w:ind w:left="0" w:firstLine="270"/>
        <w:jc w:val="both"/>
        <w:rPr>
          <w:szCs w:val="24"/>
        </w:rPr>
      </w:pPr>
      <w:r w:rsidRPr="00922244">
        <w:rPr>
          <w:szCs w:val="24"/>
        </w:rPr>
        <w:t>D.C.)]: International Monetary Fund, 2008.</w:t>
      </w:r>
    </w:p>
    <w:p w:rsidR="003A6A25" w:rsidRPr="00922244" w:rsidRDefault="003A6A25" w:rsidP="006D4E7F">
      <w:pPr>
        <w:pStyle w:val="ListParagraph"/>
        <w:tabs>
          <w:tab w:val="left" w:pos="0"/>
        </w:tabs>
        <w:autoSpaceDE w:val="0"/>
        <w:autoSpaceDN w:val="0"/>
        <w:adjustRightInd w:val="0"/>
        <w:spacing w:after="120"/>
        <w:ind w:left="0"/>
        <w:jc w:val="both"/>
        <w:rPr>
          <w:szCs w:val="24"/>
        </w:rPr>
      </w:pPr>
      <w:r w:rsidRPr="00922244">
        <w:rPr>
          <w:szCs w:val="24"/>
        </w:rPr>
        <w:t> </w:t>
      </w:r>
    </w:p>
    <w:sectPr w:rsidR="003A6A25" w:rsidRPr="00922244" w:rsidSect="00A31546">
      <w:footerReference w:type="default" r:id="rId111"/>
      <w:type w:val="continuous"/>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875" w:rsidRDefault="00E06875">
      <w:r>
        <w:separator/>
      </w:r>
    </w:p>
  </w:endnote>
  <w:endnote w:type="continuationSeparator" w:id="0">
    <w:p w:rsidR="00E06875" w:rsidRDefault="00E06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HEA Grapalat">
    <w:altName w:val="Arial"/>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077955"/>
      <w:docPartObj>
        <w:docPartGallery w:val="Page Numbers (Bottom of Page)"/>
        <w:docPartUnique/>
      </w:docPartObj>
    </w:sdtPr>
    <w:sdtEndPr>
      <w:rPr>
        <w:noProof/>
      </w:rPr>
    </w:sdtEndPr>
    <w:sdtContent>
      <w:p w:rsidR="001D338C" w:rsidRDefault="00E06875">
        <w:pPr>
          <w:pStyle w:val="Footer"/>
          <w:jc w:val="right"/>
        </w:pPr>
        <w:r>
          <w:fldChar w:fldCharType="begin"/>
        </w:r>
        <w:r>
          <w:instrText xml:space="preserve"> PAGE   \* MERGEFORMAT </w:instrText>
        </w:r>
        <w:r>
          <w:fldChar w:fldCharType="separate"/>
        </w:r>
        <w:r w:rsidR="00BC129A">
          <w:rPr>
            <w:noProof/>
          </w:rPr>
          <w:t>4</w:t>
        </w:r>
        <w:r>
          <w:rPr>
            <w:noProof/>
          </w:rPr>
          <w:fldChar w:fldCharType="end"/>
        </w:r>
      </w:p>
    </w:sdtContent>
  </w:sdt>
  <w:p w:rsidR="001D338C" w:rsidRDefault="001D3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875" w:rsidRDefault="00E06875">
      <w:r>
        <w:separator/>
      </w:r>
    </w:p>
  </w:footnote>
  <w:footnote w:type="continuationSeparator" w:id="0">
    <w:p w:rsidR="00E06875" w:rsidRDefault="00E06875">
      <w:r>
        <w:continuationSeparator/>
      </w:r>
    </w:p>
  </w:footnote>
  <w:footnote w:type="continuationNotice" w:id="1">
    <w:p w:rsidR="00E06875" w:rsidRDefault="00E06875">
      <w:pPr>
        <w:jc w:val="right"/>
      </w:pPr>
      <w:r>
        <w:t>(continued…)</w:t>
      </w:r>
    </w:p>
  </w:footnote>
  <w:footnote w:id="2">
    <w:p w:rsidR="001D338C" w:rsidRDefault="001D338C" w:rsidP="008C1395">
      <w:pPr>
        <w:pStyle w:val="FootnoteText"/>
      </w:pPr>
      <w:r>
        <w:rPr>
          <w:rStyle w:val="FootnoteReference"/>
        </w:rPr>
        <w:footnoteRef/>
      </w:r>
      <w:r>
        <w:t xml:space="preserve"> The authors would like to thank the MCD Armenia team and especially Vahram Janvelyan for extensive comments and support on data issues and econometric work. A preliminary version of the paper was presented at  the IMF-sponsored seminar hosted by the Central Bank of Armenia on September 27, 2014 in the context of the IMF Article IV consultation mission.   </w:t>
      </w:r>
    </w:p>
  </w:footnote>
  <w:footnote w:id="3">
    <w:p w:rsidR="001D338C" w:rsidRPr="00F20B3A" w:rsidRDefault="001D338C" w:rsidP="00855B38">
      <w:pPr>
        <w:pStyle w:val="FootnoteText"/>
        <w:jc w:val="both"/>
      </w:pPr>
      <w:r w:rsidRPr="00F20B3A">
        <w:rPr>
          <w:rStyle w:val="FootnoteReference"/>
        </w:rPr>
        <w:footnoteRef/>
      </w:r>
      <w:r>
        <w:t>This term refers to n</w:t>
      </w:r>
      <w:r w:rsidRPr="00F20B3A">
        <w:t xml:space="preserve">on-commercial money inflows </w:t>
      </w:r>
      <w:r>
        <w:t xml:space="preserve">made by individuals through the </w:t>
      </w:r>
      <w:r w:rsidRPr="00F20B3A">
        <w:t>banking system</w:t>
      </w:r>
      <w:r>
        <w:t>.</w:t>
      </w:r>
    </w:p>
  </w:footnote>
  <w:footnote w:id="4">
    <w:p w:rsidR="001D338C" w:rsidRPr="00BD64F4" w:rsidRDefault="001D338C" w:rsidP="00855B38">
      <w:pPr>
        <w:pStyle w:val="FootnoteText"/>
      </w:pPr>
      <w:r w:rsidRPr="00BD64F4">
        <w:rPr>
          <w:rStyle w:val="FootnoteReference"/>
        </w:rPr>
        <w:footnoteRef/>
      </w:r>
      <w:r w:rsidRPr="00BD64F4">
        <w:t xml:space="preserve"> The financial system in Armenia is dominated by a relatively fragmented banking sector with 89.5 percent of assets held by 22 commercial banks.  Non-banking financial sector on the other hand is considered to be underdeveloped.</w:t>
      </w:r>
    </w:p>
  </w:footnote>
  <w:footnote w:id="5">
    <w:p w:rsidR="001D338C" w:rsidRPr="0077244C" w:rsidRDefault="001D338C" w:rsidP="00126535">
      <w:pPr>
        <w:autoSpaceDE w:val="0"/>
        <w:autoSpaceDN w:val="0"/>
        <w:adjustRightInd w:val="0"/>
        <w:rPr>
          <w:sz w:val="20"/>
        </w:rPr>
      </w:pPr>
      <w:r w:rsidRPr="0077244C">
        <w:rPr>
          <w:rStyle w:val="FootnoteReference"/>
        </w:rPr>
        <w:footnoteRef/>
      </w:r>
      <w:r w:rsidRPr="0077244C">
        <w:rPr>
          <w:sz w:val="20"/>
        </w:rPr>
        <w:t>Sims (1980), for instance, proposes the use of</w:t>
      </w:r>
      <w:r>
        <w:rPr>
          <w:sz w:val="20"/>
        </w:rPr>
        <w:t xml:space="preserve"> </w:t>
      </w:r>
      <w:r w:rsidRPr="0077244C">
        <w:rPr>
          <w:sz w:val="20"/>
        </w:rPr>
        <w:t>VAR models to capture the endogeneity of macroeconomic variables.</w:t>
      </w:r>
    </w:p>
  </w:footnote>
  <w:footnote w:id="6">
    <w:p w:rsidR="001D338C" w:rsidRDefault="001D338C">
      <w:pPr>
        <w:pStyle w:val="FootnoteText"/>
      </w:pPr>
      <w:r>
        <w:rPr>
          <w:rStyle w:val="FootnoteReference"/>
        </w:rPr>
        <w:footnoteRef/>
      </w:r>
      <w:r>
        <w:t xml:space="preserve"> We believe this is the best indicators as it represent</w:t>
      </w:r>
      <w:r w:rsidR="00DF08EA">
        <w:t>s</w:t>
      </w:r>
      <w:r>
        <w:t xml:space="preserve"> the effective weights of Armenia’s exposure to different regions. The EU’s GDP weight in global GDP is only 12 percent while Armenia’s exposure to EU’s through exports is 30 percent.    </w:t>
      </w:r>
    </w:p>
  </w:footnote>
  <w:footnote w:id="7">
    <w:p w:rsidR="001D338C" w:rsidRPr="00E016B0" w:rsidRDefault="001D338C" w:rsidP="003A6A25">
      <w:pPr>
        <w:autoSpaceDE w:val="0"/>
        <w:autoSpaceDN w:val="0"/>
        <w:adjustRightInd w:val="0"/>
        <w:rPr>
          <w:sz w:val="20"/>
        </w:rPr>
      </w:pPr>
      <w:r>
        <w:rPr>
          <w:rStyle w:val="FootnoteReference"/>
        </w:rPr>
        <w:footnoteRef/>
      </w:r>
      <w:r w:rsidRPr="00E016B0">
        <w:rPr>
          <w:sz w:val="20"/>
        </w:rPr>
        <w:t>Kiyotaki and Moore (1997) and Bernanke, Gertler and Gilchrist (1998) introduce credit and financial frictions to the analysis of the business cycle.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38C" w:rsidRDefault="001D338C" w:rsidP="00482FCE">
    <w:pPr>
      <w:pStyle w:val="CoverWPNumber"/>
    </w:pPr>
    <w:r>
      <w:t>WP/</w:t>
    </w:r>
    <w:r>
      <w:drawing>
        <wp:anchor distT="0" distB="0" distL="114300" distR="114300" simplePos="0" relativeHeight="251657728" behindDoc="1" locked="0" layoutInCell="1" allowOverlap="1">
          <wp:simplePos x="0" y="0"/>
          <wp:positionH relativeFrom="column">
            <wp:posOffset>-62865</wp:posOffset>
          </wp:positionH>
          <wp:positionV relativeFrom="paragraph">
            <wp:posOffset>2540</wp:posOffset>
          </wp:positionV>
          <wp:extent cx="6062345" cy="1151255"/>
          <wp:effectExtent l="19050" t="0" r="0" b="0"/>
          <wp:wrapThrough wrapText="bothSides">
            <wp:wrapPolygon edited="0">
              <wp:start x="-68" y="0"/>
              <wp:lineTo x="-68" y="21088"/>
              <wp:lineTo x="21584" y="21088"/>
              <wp:lineTo x="21584" y="0"/>
              <wp:lineTo x="-68" y="0"/>
            </wp:wrapPolygon>
          </wp:wrapThrough>
          <wp:docPr id="16" name="Picture 16" descr="Work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kpapr"/>
                  <pic:cNvPicPr>
                    <a:picLocks noChangeAspect="1" noChangeArrowheads="1"/>
                  </pic:cNvPicPr>
                </pic:nvPicPr>
                <pic:blipFill>
                  <a:blip r:embed="rId1"/>
                  <a:srcRect/>
                  <a:stretch>
                    <a:fillRect/>
                  </a:stretch>
                </pic:blipFill>
                <pic:spPr bwMode="auto">
                  <a:xfrm>
                    <a:off x="0" y="0"/>
                    <a:ext cx="6062345" cy="1151255"/>
                  </a:xfrm>
                  <a:prstGeom prst="rect">
                    <a:avLst/>
                  </a:prstGeom>
                  <a:noFill/>
                </pic:spPr>
              </pic:pic>
            </a:graphicData>
          </a:graphic>
        </wp:anchor>
      </w:drawing>
    </w:r>
  </w:p>
  <w:p w:rsidR="001D338C" w:rsidRDefault="001D33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38C" w:rsidRPr="00980236" w:rsidRDefault="001D338C" w:rsidP="00980236">
    <w:pPr>
      <w:pStyle w:val="Header"/>
    </w:pPr>
    <w:r>
      <w:tab/>
    </w:r>
    <w:r w:rsidR="00E06875">
      <w:fldChar w:fldCharType="begin"/>
    </w:r>
    <w:r w:rsidR="00E06875">
      <w:instrText xml:space="preserve"> PAGE </w:instrText>
    </w:r>
    <w:r w:rsidR="00E06875">
      <w:fldChar w:fldCharType="separate"/>
    </w:r>
    <w:r w:rsidR="00BC129A">
      <w:rPr>
        <w:noProof/>
      </w:rPr>
      <w:t>4</w:t>
    </w:r>
    <w:r w:rsidR="00E06875">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38C" w:rsidRDefault="001D338C">
    <w:pPr>
      <w:pStyle w:val="Header"/>
      <w:jc w:val="right"/>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6068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994380"/>
    <w:multiLevelType w:val="hybridMultilevel"/>
    <w:tmpl w:val="81D8BE42"/>
    <w:lvl w:ilvl="0" w:tplc="7AEC41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1B581B"/>
    <w:multiLevelType w:val="multilevel"/>
    <w:tmpl w:val="A206676C"/>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1CD714E8"/>
    <w:multiLevelType w:val="hybridMultilevel"/>
    <w:tmpl w:val="61B61D9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4D2197"/>
    <w:multiLevelType w:val="singleLevel"/>
    <w:tmpl w:val="799A6B14"/>
    <w:lvl w:ilvl="0">
      <w:start w:val="1"/>
      <w:numFmt w:val="decimal"/>
      <w:lvlText w:val="%1.     "/>
      <w:lvlJc w:val="left"/>
      <w:pPr>
        <w:tabs>
          <w:tab w:val="num" w:pos="720"/>
        </w:tabs>
        <w:ind w:left="0" w:firstLine="0"/>
      </w:pPr>
    </w:lvl>
  </w:abstractNum>
  <w:abstractNum w:abstractNumId="6">
    <w:nsid w:val="31F2551B"/>
    <w:multiLevelType w:val="singleLevel"/>
    <w:tmpl w:val="633A1214"/>
    <w:lvl w:ilvl="0">
      <w:numFmt w:val="bullet"/>
      <w:lvlText w:val="-"/>
      <w:lvlJc w:val="left"/>
      <w:pPr>
        <w:tabs>
          <w:tab w:val="num" w:pos="360"/>
        </w:tabs>
        <w:ind w:left="360" w:hanging="360"/>
      </w:pPr>
      <w:rPr>
        <w:rFonts w:hint="default"/>
      </w:rPr>
    </w:lvl>
  </w:abstractNum>
  <w:abstractNum w:abstractNumId="7">
    <w:nsid w:val="350E133B"/>
    <w:multiLevelType w:val="hybridMultilevel"/>
    <w:tmpl w:val="81D8BE42"/>
    <w:lvl w:ilvl="0" w:tplc="7AEC41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05AB1"/>
    <w:multiLevelType w:val="hybridMultilevel"/>
    <w:tmpl w:val="4C8AB39E"/>
    <w:lvl w:ilvl="0" w:tplc="3B08F8F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E8621A"/>
    <w:multiLevelType w:val="hybridMultilevel"/>
    <w:tmpl w:val="FBB4CEB6"/>
    <w:lvl w:ilvl="0" w:tplc="9BF8FD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152856"/>
    <w:multiLevelType w:val="hybridMultilevel"/>
    <w:tmpl w:val="FBB4CEB6"/>
    <w:lvl w:ilvl="0" w:tplc="9BF8FD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EA15A1"/>
    <w:multiLevelType w:val="multilevel"/>
    <w:tmpl w:val="BC1628F2"/>
    <w:lvl w:ilvl="0">
      <w:start w:val="1"/>
      <w:numFmt w:val="upperRoman"/>
      <w:pStyle w:val="Heading1"/>
      <w:suff w:val="nothing"/>
      <w:lvlText w:val="%1.   "/>
      <w:lvlJc w:val="left"/>
      <w:pPr>
        <w:ind w:left="0" w:firstLine="0"/>
      </w:pPr>
      <w:rPr>
        <w:rFonts w:hint="default"/>
      </w:rPr>
    </w:lvl>
    <w:lvl w:ilvl="1">
      <w:start w:val="1"/>
      <w:numFmt w:val="upperLetter"/>
      <w:pStyle w:val="Heading2"/>
      <w:suff w:val="nothing"/>
      <w:lvlText w:val="%2.   "/>
      <w:lvlJc w:val="left"/>
      <w:pPr>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ascii="Times New Roman" w:eastAsia="Times New Roman" w:hAnsi="Times New Roman" w:cs="Times New Roman"/>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2">
    <w:nsid w:val="72EC185F"/>
    <w:multiLevelType w:val="hybridMultilevel"/>
    <w:tmpl w:val="6136B770"/>
    <w:lvl w:ilvl="0" w:tplc="D77060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0"/>
  </w:num>
  <w:num w:numId="4">
    <w:abstractNumId w:val="0"/>
  </w:num>
  <w:num w:numId="5">
    <w:abstractNumId w:val="5"/>
  </w:num>
  <w:num w:numId="6">
    <w:abstractNumId w:val="6"/>
  </w:num>
  <w:num w:numId="7">
    <w:abstractNumId w:val="11"/>
  </w:num>
  <w:num w:numId="8">
    <w:abstractNumId w:val="11"/>
  </w:num>
  <w:num w:numId="9">
    <w:abstractNumId w:val="2"/>
  </w:num>
  <w:num w:numId="10">
    <w:abstractNumId w:val="11"/>
  </w:num>
  <w:num w:numId="11">
    <w:abstractNumId w:val="11"/>
  </w:num>
  <w:num w:numId="12">
    <w:abstractNumId w:val="2"/>
  </w:num>
  <w:num w:numId="13">
    <w:abstractNumId w:val="2"/>
  </w:num>
  <w:num w:numId="14">
    <w:abstractNumId w:val="12"/>
  </w:num>
  <w:num w:numId="15">
    <w:abstractNumId w:val="9"/>
  </w:num>
  <w:num w:numId="16">
    <w:abstractNumId w:val="1"/>
  </w:num>
  <w:num w:numId="17">
    <w:abstractNumId w:val="7"/>
  </w:num>
  <w:num w:numId="18">
    <w:abstractNumId w:val="11"/>
  </w:num>
  <w:num w:numId="19">
    <w:abstractNumId w:val="8"/>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n-US" w:vendorID="8" w:dllVersion="513" w:checkStyle="1"/>
  <w:activeWritingStyle w:appName="MSWord" w:lang="ru-RU"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542"/>
    <w:rsid w:val="000068A2"/>
    <w:rsid w:val="0001518F"/>
    <w:rsid w:val="00021A81"/>
    <w:rsid w:val="00030C6B"/>
    <w:rsid w:val="0003206A"/>
    <w:rsid w:val="00037BD7"/>
    <w:rsid w:val="000430C7"/>
    <w:rsid w:val="00044491"/>
    <w:rsid w:val="00047C24"/>
    <w:rsid w:val="0005197E"/>
    <w:rsid w:val="00067106"/>
    <w:rsid w:val="000805DB"/>
    <w:rsid w:val="00081D93"/>
    <w:rsid w:val="000835C9"/>
    <w:rsid w:val="00084876"/>
    <w:rsid w:val="00090590"/>
    <w:rsid w:val="00091FA0"/>
    <w:rsid w:val="000944DF"/>
    <w:rsid w:val="000A3961"/>
    <w:rsid w:val="000A588A"/>
    <w:rsid w:val="000B27E1"/>
    <w:rsid w:val="000B4F9F"/>
    <w:rsid w:val="000D10BF"/>
    <w:rsid w:val="000D1182"/>
    <w:rsid w:val="000D3D7F"/>
    <w:rsid w:val="000E4035"/>
    <w:rsid w:val="00102568"/>
    <w:rsid w:val="0011651C"/>
    <w:rsid w:val="001227D0"/>
    <w:rsid w:val="00126535"/>
    <w:rsid w:val="00130DC1"/>
    <w:rsid w:val="00144012"/>
    <w:rsid w:val="00145D6F"/>
    <w:rsid w:val="00146D9F"/>
    <w:rsid w:val="00156A43"/>
    <w:rsid w:val="00157C29"/>
    <w:rsid w:val="0016148D"/>
    <w:rsid w:val="00174BCA"/>
    <w:rsid w:val="001753BE"/>
    <w:rsid w:val="00182966"/>
    <w:rsid w:val="001A1D1C"/>
    <w:rsid w:val="001A2DF7"/>
    <w:rsid w:val="001A3A1D"/>
    <w:rsid w:val="001A60B9"/>
    <w:rsid w:val="001C17EC"/>
    <w:rsid w:val="001C2850"/>
    <w:rsid w:val="001C3FE5"/>
    <w:rsid w:val="001C509E"/>
    <w:rsid w:val="001C7D8C"/>
    <w:rsid w:val="001D338C"/>
    <w:rsid w:val="001D3FBC"/>
    <w:rsid w:val="001E3058"/>
    <w:rsid w:val="001F6890"/>
    <w:rsid w:val="002010E6"/>
    <w:rsid w:val="00207BBB"/>
    <w:rsid w:val="00211932"/>
    <w:rsid w:val="0022740A"/>
    <w:rsid w:val="002341BD"/>
    <w:rsid w:val="00235D74"/>
    <w:rsid w:val="00237F84"/>
    <w:rsid w:val="00240102"/>
    <w:rsid w:val="002420B1"/>
    <w:rsid w:val="002456F9"/>
    <w:rsid w:val="00253598"/>
    <w:rsid w:val="00254A89"/>
    <w:rsid w:val="0027751A"/>
    <w:rsid w:val="00282F3A"/>
    <w:rsid w:val="00284384"/>
    <w:rsid w:val="002B2104"/>
    <w:rsid w:val="002B2864"/>
    <w:rsid w:val="002C36BB"/>
    <w:rsid w:val="002C3FFF"/>
    <w:rsid w:val="002C4BD7"/>
    <w:rsid w:val="002D2594"/>
    <w:rsid w:val="002D4249"/>
    <w:rsid w:val="002D4FA9"/>
    <w:rsid w:val="002F1332"/>
    <w:rsid w:val="002F13F0"/>
    <w:rsid w:val="002F3449"/>
    <w:rsid w:val="0030186C"/>
    <w:rsid w:val="00306BC8"/>
    <w:rsid w:val="0032730A"/>
    <w:rsid w:val="00332EAA"/>
    <w:rsid w:val="003367D0"/>
    <w:rsid w:val="00341CA8"/>
    <w:rsid w:val="00350238"/>
    <w:rsid w:val="00356542"/>
    <w:rsid w:val="00367D4E"/>
    <w:rsid w:val="003715A7"/>
    <w:rsid w:val="003744BF"/>
    <w:rsid w:val="00376A9D"/>
    <w:rsid w:val="00393F34"/>
    <w:rsid w:val="0039665F"/>
    <w:rsid w:val="003A6A25"/>
    <w:rsid w:val="003B7589"/>
    <w:rsid w:val="003C2B12"/>
    <w:rsid w:val="003D5560"/>
    <w:rsid w:val="003E0060"/>
    <w:rsid w:val="003E606E"/>
    <w:rsid w:val="003F2D39"/>
    <w:rsid w:val="003F33E7"/>
    <w:rsid w:val="00404BD9"/>
    <w:rsid w:val="00406354"/>
    <w:rsid w:val="00407F8C"/>
    <w:rsid w:val="00415B45"/>
    <w:rsid w:val="00416F92"/>
    <w:rsid w:val="004248C1"/>
    <w:rsid w:val="00425B84"/>
    <w:rsid w:val="004261EA"/>
    <w:rsid w:val="0043167B"/>
    <w:rsid w:val="00441957"/>
    <w:rsid w:val="004451B5"/>
    <w:rsid w:val="004520CE"/>
    <w:rsid w:val="00454C48"/>
    <w:rsid w:val="0045596D"/>
    <w:rsid w:val="00463A92"/>
    <w:rsid w:val="00476759"/>
    <w:rsid w:val="00481891"/>
    <w:rsid w:val="00482FCE"/>
    <w:rsid w:val="00485ED2"/>
    <w:rsid w:val="004902DF"/>
    <w:rsid w:val="00490963"/>
    <w:rsid w:val="004950CE"/>
    <w:rsid w:val="004C26A3"/>
    <w:rsid w:val="004D3655"/>
    <w:rsid w:val="004D3C57"/>
    <w:rsid w:val="00502DD2"/>
    <w:rsid w:val="00505489"/>
    <w:rsid w:val="00513BA5"/>
    <w:rsid w:val="00514B0A"/>
    <w:rsid w:val="00520F99"/>
    <w:rsid w:val="00565D9E"/>
    <w:rsid w:val="00572B36"/>
    <w:rsid w:val="00575739"/>
    <w:rsid w:val="00576360"/>
    <w:rsid w:val="00580335"/>
    <w:rsid w:val="00585CB6"/>
    <w:rsid w:val="00594407"/>
    <w:rsid w:val="005A3B26"/>
    <w:rsid w:val="005A59C0"/>
    <w:rsid w:val="005B2920"/>
    <w:rsid w:val="005B4D32"/>
    <w:rsid w:val="005D39B6"/>
    <w:rsid w:val="005D5F9D"/>
    <w:rsid w:val="005E2AD0"/>
    <w:rsid w:val="005F602A"/>
    <w:rsid w:val="00600049"/>
    <w:rsid w:val="00620A52"/>
    <w:rsid w:val="0062606E"/>
    <w:rsid w:val="00627020"/>
    <w:rsid w:val="0063501D"/>
    <w:rsid w:val="00642AF5"/>
    <w:rsid w:val="00652E46"/>
    <w:rsid w:val="00664FCB"/>
    <w:rsid w:val="00665675"/>
    <w:rsid w:val="00667F3A"/>
    <w:rsid w:val="0067352D"/>
    <w:rsid w:val="006740C8"/>
    <w:rsid w:val="00675F90"/>
    <w:rsid w:val="00677216"/>
    <w:rsid w:val="006867DD"/>
    <w:rsid w:val="0068783C"/>
    <w:rsid w:val="00691100"/>
    <w:rsid w:val="00694C52"/>
    <w:rsid w:val="006B01B1"/>
    <w:rsid w:val="006B3D07"/>
    <w:rsid w:val="006B5C79"/>
    <w:rsid w:val="006C1C71"/>
    <w:rsid w:val="006D0233"/>
    <w:rsid w:val="006D4E7F"/>
    <w:rsid w:val="006E16B5"/>
    <w:rsid w:val="006E42FA"/>
    <w:rsid w:val="006E5FAD"/>
    <w:rsid w:val="006F2E71"/>
    <w:rsid w:val="006F6F3B"/>
    <w:rsid w:val="00701586"/>
    <w:rsid w:val="00702A67"/>
    <w:rsid w:val="007157D3"/>
    <w:rsid w:val="00720E20"/>
    <w:rsid w:val="00721042"/>
    <w:rsid w:val="00726435"/>
    <w:rsid w:val="00726B78"/>
    <w:rsid w:val="0072798E"/>
    <w:rsid w:val="00742D24"/>
    <w:rsid w:val="00742F1D"/>
    <w:rsid w:val="00744797"/>
    <w:rsid w:val="0075631A"/>
    <w:rsid w:val="00760AF1"/>
    <w:rsid w:val="007635D6"/>
    <w:rsid w:val="00765EC2"/>
    <w:rsid w:val="0076681D"/>
    <w:rsid w:val="00772B65"/>
    <w:rsid w:val="00780893"/>
    <w:rsid w:val="0079297A"/>
    <w:rsid w:val="00796589"/>
    <w:rsid w:val="00796C18"/>
    <w:rsid w:val="007A10A1"/>
    <w:rsid w:val="007B47A3"/>
    <w:rsid w:val="007C0EEE"/>
    <w:rsid w:val="007D08F9"/>
    <w:rsid w:val="007D2997"/>
    <w:rsid w:val="007D4175"/>
    <w:rsid w:val="007F7431"/>
    <w:rsid w:val="00806F01"/>
    <w:rsid w:val="00811E7E"/>
    <w:rsid w:val="008143D7"/>
    <w:rsid w:val="00820A84"/>
    <w:rsid w:val="00822F7B"/>
    <w:rsid w:val="00824336"/>
    <w:rsid w:val="00831FCB"/>
    <w:rsid w:val="0083255D"/>
    <w:rsid w:val="0084155B"/>
    <w:rsid w:val="008453D7"/>
    <w:rsid w:val="00845588"/>
    <w:rsid w:val="00851362"/>
    <w:rsid w:val="00854FFB"/>
    <w:rsid w:val="00855B38"/>
    <w:rsid w:val="008569C0"/>
    <w:rsid w:val="00860EA3"/>
    <w:rsid w:val="0087052D"/>
    <w:rsid w:val="00875401"/>
    <w:rsid w:val="00881B54"/>
    <w:rsid w:val="008844C1"/>
    <w:rsid w:val="00886964"/>
    <w:rsid w:val="008922F9"/>
    <w:rsid w:val="008B36FE"/>
    <w:rsid w:val="008B5B99"/>
    <w:rsid w:val="008B71A0"/>
    <w:rsid w:val="008C013A"/>
    <w:rsid w:val="008C1395"/>
    <w:rsid w:val="008C1C29"/>
    <w:rsid w:val="008C2CD2"/>
    <w:rsid w:val="008D08EB"/>
    <w:rsid w:val="008D485F"/>
    <w:rsid w:val="008E4885"/>
    <w:rsid w:val="008E49F6"/>
    <w:rsid w:val="008E7A2C"/>
    <w:rsid w:val="008F1B0B"/>
    <w:rsid w:val="008F2664"/>
    <w:rsid w:val="008F50F5"/>
    <w:rsid w:val="00901B68"/>
    <w:rsid w:val="00901D26"/>
    <w:rsid w:val="00913786"/>
    <w:rsid w:val="0091732D"/>
    <w:rsid w:val="00927516"/>
    <w:rsid w:val="00957AC9"/>
    <w:rsid w:val="00962455"/>
    <w:rsid w:val="00973086"/>
    <w:rsid w:val="00977ABD"/>
    <w:rsid w:val="00980236"/>
    <w:rsid w:val="0098158E"/>
    <w:rsid w:val="0098610A"/>
    <w:rsid w:val="009969BB"/>
    <w:rsid w:val="009B7FD8"/>
    <w:rsid w:val="009D56C4"/>
    <w:rsid w:val="009E42BB"/>
    <w:rsid w:val="009F2B63"/>
    <w:rsid w:val="00A17C40"/>
    <w:rsid w:val="00A25CAA"/>
    <w:rsid w:val="00A31546"/>
    <w:rsid w:val="00A33595"/>
    <w:rsid w:val="00A37FE3"/>
    <w:rsid w:val="00A44ACA"/>
    <w:rsid w:val="00A4790E"/>
    <w:rsid w:val="00A570D4"/>
    <w:rsid w:val="00A578F5"/>
    <w:rsid w:val="00A6757E"/>
    <w:rsid w:val="00A7566C"/>
    <w:rsid w:val="00A85DDE"/>
    <w:rsid w:val="00A95C3F"/>
    <w:rsid w:val="00AA1392"/>
    <w:rsid w:val="00AA397D"/>
    <w:rsid w:val="00AA511B"/>
    <w:rsid w:val="00AB062F"/>
    <w:rsid w:val="00AC3FA0"/>
    <w:rsid w:val="00AC5B78"/>
    <w:rsid w:val="00AF204F"/>
    <w:rsid w:val="00AF6676"/>
    <w:rsid w:val="00B03805"/>
    <w:rsid w:val="00B05B02"/>
    <w:rsid w:val="00B07A10"/>
    <w:rsid w:val="00B14840"/>
    <w:rsid w:val="00B20A8B"/>
    <w:rsid w:val="00B25D33"/>
    <w:rsid w:val="00B278E0"/>
    <w:rsid w:val="00B32B6A"/>
    <w:rsid w:val="00B367C8"/>
    <w:rsid w:val="00B44D53"/>
    <w:rsid w:val="00B50096"/>
    <w:rsid w:val="00B5207E"/>
    <w:rsid w:val="00B56701"/>
    <w:rsid w:val="00B7144D"/>
    <w:rsid w:val="00B716D3"/>
    <w:rsid w:val="00B72E10"/>
    <w:rsid w:val="00B73FB7"/>
    <w:rsid w:val="00B77B9B"/>
    <w:rsid w:val="00B81BB5"/>
    <w:rsid w:val="00B86775"/>
    <w:rsid w:val="00B9310B"/>
    <w:rsid w:val="00BA028A"/>
    <w:rsid w:val="00BA14D3"/>
    <w:rsid w:val="00BA69F1"/>
    <w:rsid w:val="00BA7278"/>
    <w:rsid w:val="00BB08FA"/>
    <w:rsid w:val="00BB2012"/>
    <w:rsid w:val="00BC129A"/>
    <w:rsid w:val="00BC1D5E"/>
    <w:rsid w:val="00BC2426"/>
    <w:rsid w:val="00BD2013"/>
    <w:rsid w:val="00BD3BCF"/>
    <w:rsid w:val="00BD5010"/>
    <w:rsid w:val="00BE214E"/>
    <w:rsid w:val="00BF0694"/>
    <w:rsid w:val="00C04144"/>
    <w:rsid w:val="00C13FD4"/>
    <w:rsid w:val="00C354FE"/>
    <w:rsid w:val="00C37F8C"/>
    <w:rsid w:val="00C4209B"/>
    <w:rsid w:val="00C4274A"/>
    <w:rsid w:val="00C42C77"/>
    <w:rsid w:val="00C47EF4"/>
    <w:rsid w:val="00C5281C"/>
    <w:rsid w:val="00C556B7"/>
    <w:rsid w:val="00C71EEC"/>
    <w:rsid w:val="00C74DFD"/>
    <w:rsid w:val="00C75353"/>
    <w:rsid w:val="00C805FD"/>
    <w:rsid w:val="00C82FBB"/>
    <w:rsid w:val="00C8782A"/>
    <w:rsid w:val="00CB11C9"/>
    <w:rsid w:val="00CB31C8"/>
    <w:rsid w:val="00CB49C3"/>
    <w:rsid w:val="00CD0446"/>
    <w:rsid w:val="00CE2518"/>
    <w:rsid w:val="00CE64CD"/>
    <w:rsid w:val="00CF190C"/>
    <w:rsid w:val="00CF3A72"/>
    <w:rsid w:val="00D048EB"/>
    <w:rsid w:val="00D06C41"/>
    <w:rsid w:val="00D108A3"/>
    <w:rsid w:val="00D1483E"/>
    <w:rsid w:val="00D15D1D"/>
    <w:rsid w:val="00D20873"/>
    <w:rsid w:val="00D30180"/>
    <w:rsid w:val="00D312C3"/>
    <w:rsid w:val="00D31382"/>
    <w:rsid w:val="00D339CE"/>
    <w:rsid w:val="00D34EA4"/>
    <w:rsid w:val="00D4004E"/>
    <w:rsid w:val="00D4081C"/>
    <w:rsid w:val="00D5745D"/>
    <w:rsid w:val="00D633A4"/>
    <w:rsid w:val="00D649F8"/>
    <w:rsid w:val="00D8231B"/>
    <w:rsid w:val="00D853DB"/>
    <w:rsid w:val="00DA055B"/>
    <w:rsid w:val="00DA0EAE"/>
    <w:rsid w:val="00DA2262"/>
    <w:rsid w:val="00DB2EAB"/>
    <w:rsid w:val="00DB5569"/>
    <w:rsid w:val="00DC3119"/>
    <w:rsid w:val="00DE1896"/>
    <w:rsid w:val="00DE1E14"/>
    <w:rsid w:val="00DE60A1"/>
    <w:rsid w:val="00DE7A90"/>
    <w:rsid w:val="00DF0586"/>
    <w:rsid w:val="00DF08EA"/>
    <w:rsid w:val="00DF0DE4"/>
    <w:rsid w:val="00E00D24"/>
    <w:rsid w:val="00E0513B"/>
    <w:rsid w:val="00E053FB"/>
    <w:rsid w:val="00E057AA"/>
    <w:rsid w:val="00E06875"/>
    <w:rsid w:val="00E07E8A"/>
    <w:rsid w:val="00E115B6"/>
    <w:rsid w:val="00E22836"/>
    <w:rsid w:val="00E300D3"/>
    <w:rsid w:val="00E41937"/>
    <w:rsid w:val="00E42A19"/>
    <w:rsid w:val="00E47A4C"/>
    <w:rsid w:val="00E66DD4"/>
    <w:rsid w:val="00E721AF"/>
    <w:rsid w:val="00E730E1"/>
    <w:rsid w:val="00E740DA"/>
    <w:rsid w:val="00E802C9"/>
    <w:rsid w:val="00E913A0"/>
    <w:rsid w:val="00E91A0F"/>
    <w:rsid w:val="00E94290"/>
    <w:rsid w:val="00EB0EB1"/>
    <w:rsid w:val="00EB183C"/>
    <w:rsid w:val="00EC38C3"/>
    <w:rsid w:val="00ED0B8D"/>
    <w:rsid w:val="00EE09EF"/>
    <w:rsid w:val="00EE63DC"/>
    <w:rsid w:val="00EF38AE"/>
    <w:rsid w:val="00EF4239"/>
    <w:rsid w:val="00F075E6"/>
    <w:rsid w:val="00F12076"/>
    <w:rsid w:val="00F1319F"/>
    <w:rsid w:val="00F154FC"/>
    <w:rsid w:val="00F204C3"/>
    <w:rsid w:val="00F21EFD"/>
    <w:rsid w:val="00F25098"/>
    <w:rsid w:val="00F31C2C"/>
    <w:rsid w:val="00F3228E"/>
    <w:rsid w:val="00F37F77"/>
    <w:rsid w:val="00F46C42"/>
    <w:rsid w:val="00F51FC2"/>
    <w:rsid w:val="00F60DB0"/>
    <w:rsid w:val="00F62B26"/>
    <w:rsid w:val="00F677D1"/>
    <w:rsid w:val="00F753BE"/>
    <w:rsid w:val="00F7674D"/>
    <w:rsid w:val="00F80C69"/>
    <w:rsid w:val="00F82137"/>
    <w:rsid w:val="00F82699"/>
    <w:rsid w:val="00F86B29"/>
    <w:rsid w:val="00F94C81"/>
    <w:rsid w:val="00FA16B9"/>
    <w:rsid w:val="00FA3A5D"/>
    <w:rsid w:val="00FA78E1"/>
    <w:rsid w:val="00FB101B"/>
    <w:rsid w:val="00FB4439"/>
    <w:rsid w:val="00FB74FF"/>
    <w:rsid w:val="00FC312F"/>
    <w:rsid w:val="00FD0284"/>
    <w:rsid w:val="00FD3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2C3"/>
    <w:rPr>
      <w:sz w:val="24"/>
    </w:rPr>
  </w:style>
  <w:style w:type="paragraph" w:styleId="Heading1">
    <w:name w:val="heading 1"/>
    <w:basedOn w:val="Normal"/>
    <w:next w:val="Normal"/>
    <w:qFormat/>
    <w:rsid w:val="00BC2426"/>
    <w:pPr>
      <w:keepNext/>
      <w:numPr>
        <w:numId w:val="11"/>
      </w:numPr>
      <w:spacing w:after="240"/>
      <w:jc w:val="center"/>
      <w:outlineLvl w:val="0"/>
    </w:pPr>
    <w:rPr>
      <w:rFonts w:cs="Arial"/>
      <w:b/>
      <w:bCs/>
      <w:smallCaps/>
      <w:kern w:val="28"/>
      <w:szCs w:val="32"/>
    </w:rPr>
  </w:style>
  <w:style w:type="paragraph" w:styleId="Heading2">
    <w:name w:val="heading 2"/>
    <w:basedOn w:val="Normal"/>
    <w:next w:val="Normal"/>
    <w:qFormat/>
    <w:rsid w:val="00BC2426"/>
    <w:pPr>
      <w:keepNext/>
      <w:numPr>
        <w:ilvl w:val="1"/>
        <w:numId w:val="11"/>
      </w:numPr>
      <w:spacing w:after="240"/>
      <w:jc w:val="center"/>
      <w:outlineLvl w:val="1"/>
    </w:pPr>
    <w:rPr>
      <w:rFonts w:cs="Arial"/>
      <w:b/>
      <w:bCs/>
      <w:iCs/>
      <w:szCs w:val="28"/>
    </w:rPr>
  </w:style>
  <w:style w:type="paragraph" w:styleId="Heading3">
    <w:name w:val="heading 3"/>
    <w:basedOn w:val="Normal"/>
    <w:next w:val="Normal"/>
    <w:qFormat/>
    <w:rsid w:val="002D4FA9"/>
    <w:pPr>
      <w:keepNext/>
      <w:outlineLvl w:val="2"/>
    </w:pPr>
    <w:rPr>
      <w:b/>
    </w:rPr>
  </w:style>
  <w:style w:type="paragraph" w:styleId="Heading4">
    <w:name w:val="heading 4"/>
    <w:basedOn w:val="Normal"/>
    <w:next w:val="Normal"/>
    <w:qFormat/>
    <w:rsid w:val="002D4FA9"/>
    <w:pPr>
      <w:keepNext/>
      <w:outlineLvl w:val="3"/>
    </w:pPr>
    <w:rPr>
      <w:b/>
      <w:i/>
    </w:rPr>
  </w:style>
  <w:style w:type="paragraph" w:styleId="Heading5">
    <w:name w:val="heading 5"/>
    <w:basedOn w:val="Normal"/>
    <w:next w:val="Normal"/>
    <w:qFormat/>
    <w:rsid w:val="002D4FA9"/>
    <w:pPr>
      <w:keepNext/>
      <w:outlineLvl w:val="4"/>
    </w:pPr>
    <w:rPr>
      <w:i/>
    </w:rPr>
  </w:style>
  <w:style w:type="paragraph" w:styleId="Heading6">
    <w:name w:val="heading 6"/>
    <w:basedOn w:val="Normal"/>
    <w:next w:val="Normal"/>
    <w:qFormat/>
    <w:rsid w:val="002D4FA9"/>
    <w:pPr>
      <w:outlineLvl w:val="5"/>
    </w:pPr>
  </w:style>
  <w:style w:type="paragraph" w:styleId="Heading7">
    <w:name w:val="heading 7"/>
    <w:basedOn w:val="Normal"/>
    <w:next w:val="Normal"/>
    <w:qFormat/>
    <w:rsid w:val="002D4FA9"/>
    <w:pPr>
      <w:outlineLvl w:val="6"/>
    </w:pPr>
  </w:style>
  <w:style w:type="paragraph" w:styleId="Heading8">
    <w:name w:val="heading 8"/>
    <w:basedOn w:val="Normal"/>
    <w:next w:val="Normal"/>
    <w:qFormat/>
    <w:rsid w:val="002D4FA9"/>
    <w:pPr>
      <w:outlineLvl w:val="7"/>
    </w:pPr>
  </w:style>
  <w:style w:type="paragraph" w:styleId="Heading9">
    <w:name w:val="heading 9"/>
    <w:basedOn w:val="Normal"/>
    <w:next w:val="Normal"/>
    <w:qFormat/>
    <w:rsid w:val="002D4FA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C5281C"/>
    <w:rPr>
      <w:sz w:val="20"/>
      <w:vertAlign w:val="superscript"/>
    </w:rPr>
  </w:style>
  <w:style w:type="paragraph" w:styleId="FootnoteText">
    <w:name w:val="footnote text"/>
    <w:basedOn w:val="Normal"/>
    <w:link w:val="FootnoteTextChar"/>
    <w:uiPriority w:val="99"/>
    <w:rsid w:val="00C5281C"/>
    <w:pPr>
      <w:spacing w:after="240"/>
    </w:pPr>
    <w:rPr>
      <w:sz w:val="20"/>
    </w:rPr>
  </w:style>
  <w:style w:type="paragraph" w:customStyle="1" w:styleId="Indent">
    <w:name w:val="Indent"/>
    <w:basedOn w:val="Normal"/>
    <w:rsid w:val="002D4FA9"/>
    <w:pPr>
      <w:ind w:left="720" w:hanging="720"/>
    </w:pPr>
  </w:style>
  <w:style w:type="paragraph" w:styleId="ListBullet">
    <w:name w:val="List Bullet"/>
    <w:basedOn w:val="Normal"/>
    <w:rsid w:val="002D4FA9"/>
    <w:pPr>
      <w:numPr>
        <w:numId w:val="4"/>
      </w:numPr>
      <w:tabs>
        <w:tab w:val="clear" w:pos="360"/>
        <w:tab w:val="left" w:pos="720"/>
      </w:tabs>
      <w:spacing w:after="240"/>
      <w:ind w:left="720" w:hanging="720"/>
    </w:pPr>
  </w:style>
  <w:style w:type="paragraph" w:customStyle="1" w:styleId="ParagraphNumbering">
    <w:name w:val="Paragraph Numbering"/>
    <w:basedOn w:val="Normal"/>
    <w:rsid w:val="008569C0"/>
    <w:pPr>
      <w:numPr>
        <w:numId w:val="13"/>
      </w:numPr>
      <w:tabs>
        <w:tab w:val="clear" w:pos="720"/>
        <w:tab w:val="num" w:pos="360"/>
      </w:tabs>
      <w:spacing w:after="240"/>
    </w:pPr>
    <w:rPr>
      <w:szCs w:val="24"/>
    </w:rPr>
  </w:style>
  <w:style w:type="paragraph" w:styleId="Header">
    <w:name w:val="header"/>
    <w:basedOn w:val="Normal"/>
    <w:rsid w:val="002D4FA9"/>
    <w:pPr>
      <w:tabs>
        <w:tab w:val="center" w:pos="4320"/>
        <w:tab w:val="right" w:pos="8640"/>
      </w:tabs>
    </w:pPr>
  </w:style>
  <w:style w:type="paragraph" w:styleId="Footer">
    <w:name w:val="footer"/>
    <w:basedOn w:val="Normal"/>
    <w:link w:val="FooterChar"/>
    <w:uiPriority w:val="99"/>
    <w:rsid w:val="002D4FA9"/>
    <w:pPr>
      <w:tabs>
        <w:tab w:val="center" w:pos="4320"/>
        <w:tab w:val="right" w:pos="8640"/>
      </w:tabs>
    </w:pPr>
  </w:style>
  <w:style w:type="paragraph" w:styleId="Caption">
    <w:name w:val="caption"/>
    <w:basedOn w:val="Normal"/>
    <w:next w:val="Normal"/>
    <w:qFormat/>
    <w:rsid w:val="002D4FA9"/>
    <w:pPr>
      <w:spacing w:before="120" w:after="120"/>
    </w:pPr>
    <w:rPr>
      <w:snapToGrid w:val="0"/>
    </w:rPr>
  </w:style>
  <w:style w:type="paragraph" w:customStyle="1" w:styleId="CoverTitle">
    <w:name w:val="Cover Title"/>
    <w:basedOn w:val="Normal"/>
    <w:next w:val="Normal"/>
    <w:uiPriority w:val="99"/>
    <w:rsid w:val="00ED0B8D"/>
    <w:pPr>
      <w:spacing w:before="720" w:after="480"/>
      <w:jc w:val="center"/>
    </w:pPr>
    <w:rPr>
      <w:noProof/>
      <w:sz w:val="48"/>
    </w:rPr>
  </w:style>
  <w:style w:type="paragraph" w:customStyle="1" w:styleId="CoverAuthor">
    <w:name w:val="Cover Author"/>
    <w:basedOn w:val="Normal"/>
    <w:next w:val="CoverTitle"/>
    <w:uiPriority w:val="99"/>
    <w:rsid w:val="00AC3FA0"/>
    <w:pPr>
      <w:spacing w:after="360" w:line="264" w:lineRule="auto"/>
      <w:jc w:val="center"/>
    </w:pPr>
    <w:rPr>
      <w:i/>
      <w:noProof/>
      <w:sz w:val="36"/>
    </w:rPr>
  </w:style>
  <w:style w:type="paragraph" w:customStyle="1" w:styleId="DocType">
    <w:name w:val="Doc Type"/>
    <w:basedOn w:val="Normal"/>
    <w:next w:val="Normal"/>
    <w:uiPriority w:val="99"/>
    <w:rsid w:val="00AC3FA0"/>
    <w:pPr>
      <w:spacing w:before="1080" w:after="120"/>
      <w:jc w:val="center"/>
    </w:pPr>
    <w:rPr>
      <w:b/>
      <w:noProof/>
    </w:rPr>
  </w:style>
  <w:style w:type="paragraph" w:customStyle="1" w:styleId="DocTitle">
    <w:name w:val="Doc Title"/>
    <w:basedOn w:val="Normal"/>
    <w:next w:val="CoverAuthor"/>
    <w:uiPriority w:val="99"/>
    <w:rsid w:val="00B05B02"/>
    <w:pPr>
      <w:spacing w:before="120" w:after="240"/>
      <w:jc w:val="center"/>
    </w:pPr>
    <w:rPr>
      <w:b/>
    </w:rPr>
  </w:style>
  <w:style w:type="paragraph" w:customStyle="1" w:styleId="Author">
    <w:name w:val="Author"/>
    <w:basedOn w:val="Normal"/>
    <w:uiPriority w:val="99"/>
    <w:rsid w:val="00B05B02"/>
    <w:pPr>
      <w:shd w:val="clear" w:color="000000" w:fill="auto"/>
      <w:spacing w:before="120" w:after="240"/>
      <w:jc w:val="center"/>
    </w:pPr>
    <w:rPr>
      <w:b/>
      <w:noProof/>
    </w:rPr>
  </w:style>
  <w:style w:type="paragraph" w:customStyle="1" w:styleId="Authorizer">
    <w:name w:val="Authorizer"/>
    <w:basedOn w:val="Normal"/>
    <w:uiPriority w:val="99"/>
    <w:rsid w:val="00B05B02"/>
    <w:pPr>
      <w:spacing w:before="120" w:after="240"/>
      <w:jc w:val="center"/>
    </w:pPr>
    <w:rPr>
      <w:noProof/>
    </w:rPr>
  </w:style>
  <w:style w:type="paragraph" w:customStyle="1" w:styleId="Date1">
    <w:name w:val="Date1"/>
    <w:basedOn w:val="Normal"/>
    <w:next w:val="Normal"/>
    <w:uiPriority w:val="99"/>
    <w:rsid w:val="00B05B02"/>
    <w:pPr>
      <w:spacing w:before="120" w:after="480"/>
      <w:jc w:val="center"/>
    </w:pPr>
    <w:rPr>
      <w:noProof/>
    </w:rPr>
  </w:style>
  <w:style w:type="paragraph" w:customStyle="1" w:styleId="AbstractTitle">
    <w:name w:val="Abstract Title"/>
    <w:basedOn w:val="Normal"/>
    <w:uiPriority w:val="99"/>
    <w:rsid w:val="00102568"/>
    <w:pPr>
      <w:keepNext/>
      <w:shd w:val="clear" w:color="000000" w:fill="auto"/>
      <w:tabs>
        <w:tab w:val="num" w:pos="720"/>
      </w:tabs>
      <w:spacing w:before="240" w:after="240"/>
      <w:jc w:val="center"/>
      <w:outlineLvl w:val="0"/>
    </w:pPr>
    <w:rPr>
      <w:rFonts w:cs="Arial"/>
      <w:b/>
      <w:bCs/>
      <w:kern w:val="28"/>
      <w:szCs w:val="32"/>
    </w:rPr>
  </w:style>
  <w:style w:type="paragraph" w:customStyle="1" w:styleId="Abstracttext">
    <w:name w:val="Abstract text"/>
    <w:basedOn w:val="Normal"/>
    <w:uiPriority w:val="99"/>
    <w:rsid w:val="00721042"/>
    <w:pPr>
      <w:spacing w:before="60" w:after="60"/>
      <w:ind w:left="288" w:right="288"/>
    </w:pPr>
    <w:rPr>
      <w:noProof/>
    </w:rPr>
  </w:style>
  <w:style w:type="paragraph" w:customStyle="1" w:styleId="ISBN">
    <w:name w:val="ISBN"/>
    <w:basedOn w:val="Normal"/>
    <w:uiPriority w:val="99"/>
    <w:rsid w:val="0083255D"/>
    <w:pPr>
      <w:spacing w:line="264" w:lineRule="auto"/>
    </w:pPr>
    <w:rPr>
      <w:noProof/>
    </w:rPr>
  </w:style>
  <w:style w:type="paragraph" w:customStyle="1" w:styleId="ISSN">
    <w:name w:val="ISSN"/>
    <w:basedOn w:val="Normal"/>
    <w:uiPriority w:val="99"/>
    <w:rsid w:val="0083255D"/>
    <w:pPr>
      <w:spacing w:line="264" w:lineRule="auto"/>
    </w:pPr>
    <w:rPr>
      <w:noProof/>
    </w:rPr>
  </w:style>
  <w:style w:type="paragraph" w:customStyle="1" w:styleId="JEL">
    <w:name w:val="JEL"/>
    <w:basedOn w:val="Normal"/>
    <w:uiPriority w:val="99"/>
    <w:rsid w:val="00454C48"/>
    <w:pPr>
      <w:spacing w:before="420" w:after="240" w:line="264" w:lineRule="auto"/>
    </w:pPr>
    <w:rPr>
      <w:noProof/>
    </w:rPr>
  </w:style>
  <w:style w:type="paragraph" w:customStyle="1" w:styleId="Keywords">
    <w:name w:val="Keywords"/>
    <w:basedOn w:val="Normal"/>
    <w:uiPriority w:val="99"/>
    <w:rsid w:val="00B05B02"/>
    <w:pPr>
      <w:spacing w:before="120" w:after="240" w:line="264" w:lineRule="auto"/>
    </w:pPr>
    <w:rPr>
      <w:noProof/>
    </w:rPr>
  </w:style>
  <w:style w:type="paragraph" w:customStyle="1" w:styleId="EmailAddress">
    <w:name w:val="Email Address"/>
    <w:basedOn w:val="Normal"/>
    <w:uiPriority w:val="99"/>
    <w:rsid w:val="00B05B02"/>
    <w:pPr>
      <w:spacing w:before="120" w:after="600" w:line="264" w:lineRule="auto"/>
    </w:pPr>
    <w:rPr>
      <w:noProof/>
    </w:rPr>
  </w:style>
  <w:style w:type="character" w:styleId="Hyperlink">
    <w:name w:val="Hyperlink"/>
    <w:basedOn w:val="DefaultParagraphFont"/>
    <w:uiPriority w:val="99"/>
    <w:rsid w:val="0083255D"/>
    <w:rPr>
      <w:rFonts w:cs="Times New Roman"/>
      <w:color w:val="0000FF"/>
      <w:u w:val="single"/>
    </w:rPr>
  </w:style>
  <w:style w:type="paragraph" w:customStyle="1" w:styleId="Department">
    <w:name w:val="Department"/>
    <w:basedOn w:val="Normal"/>
    <w:uiPriority w:val="99"/>
    <w:rsid w:val="00102568"/>
    <w:pPr>
      <w:spacing w:before="300" w:after="360"/>
      <w:jc w:val="center"/>
    </w:pPr>
  </w:style>
  <w:style w:type="paragraph" w:customStyle="1" w:styleId="Disclaimer">
    <w:name w:val="Disclaimer"/>
    <w:basedOn w:val="Normal"/>
    <w:uiPriority w:val="99"/>
    <w:rsid w:val="003E0060"/>
  </w:style>
  <w:style w:type="paragraph" w:customStyle="1" w:styleId="WPNumber">
    <w:name w:val="WP Number"/>
    <w:basedOn w:val="Normal"/>
    <w:uiPriority w:val="99"/>
    <w:qFormat/>
    <w:rsid w:val="003E0060"/>
    <w:pPr>
      <w:tabs>
        <w:tab w:val="left" w:pos="-1440"/>
        <w:tab w:val="right" w:pos="9000"/>
      </w:tabs>
      <w:spacing w:line="264" w:lineRule="auto"/>
    </w:pPr>
    <w:rPr>
      <w:sz w:val="20"/>
    </w:rPr>
  </w:style>
  <w:style w:type="paragraph" w:customStyle="1" w:styleId="CoverWPNumber">
    <w:name w:val="Cover WP Number"/>
    <w:basedOn w:val="Header"/>
    <w:uiPriority w:val="99"/>
    <w:qFormat/>
    <w:rsid w:val="00482FCE"/>
    <w:pPr>
      <w:jc w:val="right"/>
    </w:pPr>
    <w:rPr>
      <w:noProof/>
      <w:sz w:val="36"/>
    </w:rPr>
  </w:style>
  <w:style w:type="character" w:customStyle="1" w:styleId="FootnoteTextChar">
    <w:name w:val="Footnote Text Char"/>
    <w:link w:val="FootnoteText"/>
    <w:uiPriority w:val="99"/>
    <w:rsid w:val="008C1395"/>
  </w:style>
  <w:style w:type="paragraph" w:styleId="ListParagraph">
    <w:name w:val="List Paragraph"/>
    <w:basedOn w:val="Normal"/>
    <w:uiPriority w:val="34"/>
    <w:qFormat/>
    <w:rsid w:val="004C26A3"/>
    <w:pPr>
      <w:ind w:left="720"/>
      <w:contextualSpacing/>
    </w:pPr>
  </w:style>
  <w:style w:type="paragraph" w:styleId="NormalWeb">
    <w:name w:val="Normal (Web)"/>
    <w:basedOn w:val="Normal"/>
    <w:uiPriority w:val="99"/>
    <w:unhideWhenUsed/>
    <w:rsid w:val="002D4249"/>
    <w:pPr>
      <w:spacing w:before="100" w:beforeAutospacing="1" w:after="100" w:afterAutospacing="1"/>
    </w:pPr>
    <w:rPr>
      <w:rFonts w:eastAsiaTheme="minorEastAsia"/>
      <w:szCs w:val="24"/>
    </w:rPr>
  </w:style>
  <w:style w:type="paragraph" w:styleId="BalloonText">
    <w:name w:val="Balloon Text"/>
    <w:basedOn w:val="Normal"/>
    <w:link w:val="BalloonTextChar"/>
    <w:rsid w:val="00341CA8"/>
    <w:rPr>
      <w:rFonts w:ascii="Tahoma" w:hAnsi="Tahoma" w:cs="Tahoma"/>
      <w:sz w:val="16"/>
      <w:szCs w:val="16"/>
    </w:rPr>
  </w:style>
  <w:style w:type="character" w:customStyle="1" w:styleId="BalloonTextChar">
    <w:name w:val="Balloon Text Char"/>
    <w:basedOn w:val="DefaultParagraphFont"/>
    <w:link w:val="BalloonText"/>
    <w:rsid w:val="00341CA8"/>
    <w:rPr>
      <w:rFonts w:ascii="Tahoma" w:hAnsi="Tahoma" w:cs="Tahoma"/>
      <w:sz w:val="16"/>
      <w:szCs w:val="16"/>
    </w:rPr>
  </w:style>
  <w:style w:type="character" w:customStyle="1" w:styleId="FooterChar">
    <w:name w:val="Footer Char"/>
    <w:basedOn w:val="DefaultParagraphFont"/>
    <w:link w:val="Footer"/>
    <w:uiPriority w:val="99"/>
    <w:rsid w:val="003A6A25"/>
    <w:rPr>
      <w:sz w:val="24"/>
    </w:rPr>
  </w:style>
  <w:style w:type="paragraph" w:styleId="TOC1">
    <w:name w:val="toc 1"/>
    <w:basedOn w:val="Normal"/>
    <w:next w:val="Normal"/>
    <w:autoRedefine/>
    <w:uiPriority w:val="39"/>
    <w:unhideWhenUsed/>
    <w:rsid w:val="008F1B0B"/>
    <w:pPr>
      <w:tabs>
        <w:tab w:val="right" w:leader="dot" w:pos="9345"/>
      </w:tabs>
      <w:spacing w:line="360" w:lineRule="auto"/>
    </w:pPr>
    <w:rPr>
      <w:noProof/>
      <w:szCs w:val="24"/>
      <w:lang w:eastAsia="ru-RU"/>
    </w:rPr>
  </w:style>
  <w:style w:type="character" w:styleId="CommentReference">
    <w:name w:val="annotation reference"/>
    <w:basedOn w:val="DefaultParagraphFont"/>
    <w:semiHidden/>
    <w:unhideWhenUsed/>
    <w:rsid w:val="006B01B1"/>
    <w:rPr>
      <w:sz w:val="16"/>
      <w:szCs w:val="16"/>
    </w:rPr>
  </w:style>
  <w:style w:type="paragraph" w:styleId="CommentText">
    <w:name w:val="annotation text"/>
    <w:basedOn w:val="Normal"/>
    <w:link w:val="CommentTextChar"/>
    <w:semiHidden/>
    <w:unhideWhenUsed/>
    <w:rsid w:val="006B01B1"/>
    <w:rPr>
      <w:sz w:val="20"/>
    </w:rPr>
  </w:style>
  <w:style w:type="character" w:customStyle="1" w:styleId="CommentTextChar">
    <w:name w:val="Comment Text Char"/>
    <w:basedOn w:val="DefaultParagraphFont"/>
    <w:link w:val="CommentText"/>
    <w:semiHidden/>
    <w:rsid w:val="006B01B1"/>
  </w:style>
  <w:style w:type="paragraph" w:styleId="CommentSubject">
    <w:name w:val="annotation subject"/>
    <w:basedOn w:val="CommentText"/>
    <w:next w:val="CommentText"/>
    <w:link w:val="CommentSubjectChar"/>
    <w:semiHidden/>
    <w:unhideWhenUsed/>
    <w:rsid w:val="006B01B1"/>
    <w:rPr>
      <w:b/>
      <w:bCs/>
    </w:rPr>
  </w:style>
  <w:style w:type="character" w:customStyle="1" w:styleId="CommentSubjectChar">
    <w:name w:val="Comment Subject Char"/>
    <w:basedOn w:val="CommentTextChar"/>
    <w:link w:val="CommentSubject"/>
    <w:semiHidden/>
    <w:rsid w:val="006B01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2C3"/>
    <w:rPr>
      <w:sz w:val="24"/>
    </w:rPr>
  </w:style>
  <w:style w:type="paragraph" w:styleId="Heading1">
    <w:name w:val="heading 1"/>
    <w:basedOn w:val="Normal"/>
    <w:next w:val="Normal"/>
    <w:qFormat/>
    <w:rsid w:val="00BC2426"/>
    <w:pPr>
      <w:keepNext/>
      <w:numPr>
        <w:numId w:val="11"/>
      </w:numPr>
      <w:spacing w:after="240"/>
      <w:jc w:val="center"/>
      <w:outlineLvl w:val="0"/>
    </w:pPr>
    <w:rPr>
      <w:rFonts w:cs="Arial"/>
      <w:b/>
      <w:bCs/>
      <w:smallCaps/>
      <w:kern w:val="28"/>
      <w:szCs w:val="32"/>
    </w:rPr>
  </w:style>
  <w:style w:type="paragraph" w:styleId="Heading2">
    <w:name w:val="heading 2"/>
    <w:basedOn w:val="Normal"/>
    <w:next w:val="Normal"/>
    <w:qFormat/>
    <w:rsid w:val="00BC2426"/>
    <w:pPr>
      <w:keepNext/>
      <w:numPr>
        <w:ilvl w:val="1"/>
        <w:numId w:val="11"/>
      </w:numPr>
      <w:spacing w:after="240"/>
      <w:jc w:val="center"/>
      <w:outlineLvl w:val="1"/>
    </w:pPr>
    <w:rPr>
      <w:rFonts w:cs="Arial"/>
      <w:b/>
      <w:bCs/>
      <w:iCs/>
      <w:szCs w:val="28"/>
    </w:rPr>
  </w:style>
  <w:style w:type="paragraph" w:styleId="Heading3">
    <w:name w:val="heading 3"/>
    <w:basedOn w:val="Normal"/>
    <w:next w:val="Normal"/>
    <w:qFormat/>
    <w:rsid w:val="002D4FA9"/>
    <w:pPr>
      <w:keepNext/>
      <w:outlineLvl w:val="2"/>
    </w:pPr>
    <w:rPr>
      <w:b/>
    </w:rPr>
  </w:style>
  <w:style w:type="paragraph" w:styleId="Heading4">
    <w:name w:val="heading 4"/>
    <w:basedOn w:val="Normal"/>
    <w:next w:val="Normal"/>
    <w:qFormat/>
    <w:rsid w:val="002D4FA9"/>
    <w:pPr>
      <w:keepNext/>
      <w:outlineLvl w:val="3"/>
    </w:pPr>
    <w:rPr>
      <w:b/>
      <w:i/>
    </w:rPr>
  </w:style>
  <w:style w:type="paragraph" w:styleId="Heading5">
    <w:name w:val="heading 5"/>
    <w:basedOn w:val="Normal"/>
    <w:next w:val="Normal"/>
    <w:qFormat/>
    <w:rsid w:val="002D4FA9"/>
    <w:pPr>
      <w:keepNext/>
      <w:outlineLvl w:val="4"/>
    </w:pPr>
    <w:rPr>
      <w:i/>
    </w:rPr>
  </w:style>
  <w:style w:type="paragraph" w:styleId="Heading6">
    <w:name w:val="heading 6"/>
    <w:basedOn w:val="Normal"/>
    <w:next w:val="Normal"/>
    <w:qFormat/>
    <w:rsid w:val="002D4FA9"/>
    <w:pPr>
      <w:outlineLvl w:val="5"/>
    </w:pPr>
  </w:style>
  <w:style w:type="paragraph" w:styleId="Heading7">
    <w:name w:val="heading 7"/>
    <w:basedOn w:val="Normal"/>
    <w:next w:val="Normal"/>
    <w:qFormat/>
    <w:rsid w:val="002D4FA9"/>
    <w:pPr>
      <w:outlineLvl w:val="6"/>
    </w:pPr>
  </w:style>
  <w:style w:type="paragraph" w:styleId="Heading8">
    <w:name w:val="heading 8"/>
    <w:basedOn w:val="Normal"/>
    <w:next w:val="Normal"/>
    <w:qFormat/>
    <w:rsid w:val="002D4FA9"/>
    <w:pPr>
      <w:outlineLvl w:val="7"/>
    </w:pPr>
  </w:style>
  <w:style w:type="paragraph" w:styleId="Heading9">
    <w:name w:val="heading 9"/>
    <w:basedOn w:val="Normal"/>
    <w:next w:val="Normal"/>
    <w:qFormat/>
    <w:rsid w:val="002D4FA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C5281C"/>
    <w:rPr>
      <w:sz w:val="20"/>
      <w:vertAlign w:val="superscript"/>
    </w:rPr>
  </w:style>
  <w:style w:type="paragraph" w:styleId="FootnoteText">
    <w:name w:val="footnote text"/>
    <w:basedOn w:val="Normal"/>
    <w:link w:val="FootnoteTextChar"/>
    <w:uiPriority w:val="99"/>
    <w:rsid w:val="00C5281C"/>
    <w:pPr>
      <w:spacing w:after="240"/>
    </w:pPr>
    <w:rPr>
      <w:sz w:val="20"/>
    </w:rPr>
  </w:style>
  <w:style w:type="paragraph" w:customStyle="1" w:styleId="Indent">
    <w:name w:val="Indent"/>
    <w:basedOn w:val="Normal"/>
    <w:rsid w:val="002D4FA9"/>
    <w:pPr>
      <w:ind w:left="720" w:hanging="720"/>
    </w:pPr>
  </w:style>
  <w:style w:type="paragraph" w:styleId="ListBullet">
    <w:name w:val="List Bullet"/>
    <w:basedOn w:val="Normal"/>
    <w:rsid w:val="002D4FA9"/>
    <w:pPr>
      <w:numPr>
        <w:numId w:val="4"/>
      </w:numPr>
      <w:tabs>
        <w:tab w:val="clear" w:pos="360"/>
        <w:tab w:val="left" w:pos="720"/>
      </w:tabs>
      <w:spacing w:after="240"/>
      <w:ind w:left="720" w:hanging="720"/>
    </w:pPr>
  </w:style>
  <w:style w:type="paragraph" w:customStyle="1" w:styleId="ParagraphNumbering">
    <w:name w:val="Paragraph Numbering"/>
    <w:basedOn w:val="Normal"/>
    <w:rsid w:val="008569C0"/>
    <w:pPr>
      <w:numPr>
        <w:numId w:val="13"/>
      </w:numPr>
      <w:tabs>
        <w:tab w:val="clear" w:pos="720"/>
        <w:tab w:val="num" w:pos="360"/>
      </w:tabs>
      <w:spacing w:after="240"/>
    </w:pPr>
    <w:rPr>
      <w:szCs w:val="24"/>
    </w:rPr>
  </w:style>
  <w:style w:type="paragraph" w:styleId="Header">
    <w:name w:val="header"/>
    <w:basedOn w:val="Normal"/>
    <w:rsid w:val="002D4FA9"/>
    <w:pPr>
      <w:tabs>
        <w:tab w:val="center" w:pos="4320"/>
        <w:tab w:val="right" w:pos="8640"/>
      </w:tabs>
    </w:pPr>
  </w:style>
  <w:style w:type="paragraph" w:styleId="Footer">
    <w:name w:val="footer"/>
    <w:basedOn w:val="Normal"/>
    <w:link w:val="FooterChar"/>
    <w:uiPriority w:val="99"/>
    <w:rsid w:val="002D4FA9"/>
    <w:pPr>
      <w:tabs>
        <w:tab w:val="center" w:pos="4320"/>
        <w:tab w:val="right" w:pos="8640"/>
      </w:tabs>
    </w:pPr>
  </w:style>
  <w:style w:type="paragraph" w:styleId="Caption">
    <w:name w:val="caption"/>
    <w:basedOn w:val="Normal"/>
    <w:next w:val="Normal"/>
    <w:qFormat/>
    <w:rsid w:val="002D4FA9"/>
    <w:pPr>
      <w:spacing w:before="120" w:after="120"/>
    </w:pPr>
    <w:rPr>
      <w:snapToGrid w:val="0"/>
    </w:rPr>
  </w:style>
  <w:style w:type="paragraph" w:customStyle="1" w:styleId="CoverTitle">
    <w:name w:val="Cover Title"/>
    <w:basedOn w:val="Normal"/>
    <w:next w:val="Normal"/>
    <w:uiPriority w:val="99"/>
    <w:rsid w:val="00ED0B8D"/>
    <w:pPr>
      <w:spacing w:before="720" w:after="480"/>
      <w:jc w:val="center"/>
    </w:pPr>
    <w:rPr>
      <w:noProof/>
      <w:sz w:val="48"/>
    </w:rPr>
  </w:style>
  <w:style w:type="paragraph" w:customStyle="1" w:styleId="CoverAuthor">
    <w:name w:val="Cover Author"/>
    <w:basedOn w:val="Normal"/>
    <w:next w:val="CoverTitle"/>
    <w:uiPriority w:val="99"/>
    <w:rsid w:val="00AC3FA0"/>
    <w:pPr>
      <w:spacing w:after="360" w:line="264" w:lineRule="auto"/>
      <w:jc w:val="center"/>
    </w:pPr>
    <w:rPr>
      <w:i/>
      <w:noProof/>
      <w:sz w:val="36"/>
    </w:rPr>
  </w:style>
  <w:style w:type="paragraph" w:customStyle="1" w:styleId="DocType">
    <w:name w:val="Doc Type"/>
    <w:basedOn w:val="Normal"/>
    <w:next w:val="Normal"/>
    <w:uiPriority w:val="99"/>
    <w:rsid w:val="00AC3FA0"/>
    <w:pPr>
      <w:spacing w:before="1080" w:after="120"/>
      <w:jc w:val="center"/>
    </w:pPr>
    <w:rPr>
      <w:b/>
      <w:noProof/>
    </w:rPr>
  </w:style>
  <w:style w:type="paragraph" w:customStyle="1" w:styleId="DocTitle">
    <w:name w:val="Doc Title"/>
    <w:basedOn w:val="Normal"/>
    <w:next w:val="CoverAuthor"/>
    <w:uiPriority w:val="99"/>
    <w:rsid w:val="00B05B02"/>
    <w:pPr>
      <w:spacing w:before="120" w:after="240"/>
      <w:jc w:val="center"/>
    </w:pPr>
    <w:rPr>
      <w:b/>
    </w:rPr>
  </w:style>
  <w:style w:type="paragraph" w:customStyle="1" w:styleId="Author">
    <w:name w:val="Author"/>
    <w:basedOn w:val="Normal"/>
    <w:uiPriority w:val="99"/>
    <w:rsid w:val="00B05B02"/>
    <w:pPr>
      <w:shd w:val="clear" w:color="000000" w:fill="auto"/>
      <w:spacing w:before="120" w:after="240"/>
      <w:jc w:val="center"/>
    </w:pPr>
    <w:rPr>
      <w:b/>
      <w:noProof/>
    </w:rPr>
  </w:style>
  <w:style w:type="paragraph" w:customStyle="1" w:styleId="Authorizer">
    <w:name w:val="Authorizer"/>
    <w:basedOn w:val="Normal"/>
    <w:uiPriority w:val="99"/>
    <w:rsid w:val="00B05B02"/>
    <w:pPr>
      <w:spacing w:before="120" w:after="240"/>
      <w:jc w:val="center"/>
    </w:pPr>
    <w:rPr>
      <w:noProof/>
    </w:rPr>
  </w:style>
  <w:style w:type="paragraph" w:customStyle="1" w:styleId="Date1">
    <w:name w:val="Date1"/>
    <w:basedOn w:val="Normal"/>
    <w:next w:val="Normal"/>
    <w:uiPriority w:val="99"/>
    <w:rsid w:val="00B05B02"/>
    <w:pPr>
      <w:spacing w:before="120" w:after="480"/>
      <w:jc w:val="center"/>
    </w:pPr>
    <w:rPr>
      <w:noProof/>
    </w:rPr>
  </w:style>
  <w:style w:type="paragraph" w:customStyle="1" w:styleId="AbstractTitle">
    <w:name w:val="Abstract Title"/>
    <w:basedOn w:val="Normal"/>
    <w:uiPriority w:val="99"/>
    <w:rsid w:val="00102568"/>
    <w:pPr>
      <w:keepNext/>
      <w:shd w:val="clear" w:color="000000" w:fill="auto"/>
      <w:tabs>
        <w:tab w:val="num" w:pos="720"/>
      </w:tabs>
      <w:spacing w:before="240" w:after="240"/>
      <w:jc w:val="center"/>
      <w:outlineLvl w:val="0"/>
    </w:pPr>
    <w:rPr>
      <w:rFonts w:cs="Arial"/>
      <w:b/>
      <w:bCs/>
      <w:kern w:val="28"/>
      <w:szCs w:val="32"/>
    </w:rPr>
  </w:style>
  <w:style w:type="paragraph" w:customStyle="1" w:styleId="Abstracttext">
    <w:name w:val="Abstract text"/>
    <w:basedOn w:val="Normal"/>
    <w:uiPriority w:val="99"/>
    <w:rsid w:val="00721042"/>
    <w:pPr>
      <w:spacing w:before="60" w:after="60"/>
      <w:ind w:left="288" w:right="288"/>
    </w:pPr>
    <w:rPr>
      <w:noProof/>
    </w:rPr>
  </w:style>
  <w:style w:type="paragraph" w:customStyle="1" w:styleId="ISBN">
    <w:name w:val="ISBN"/>
    <w:basedOn w:val="Normal"/>
    <w:uiPriority w:val="99"/>
    <w:rsid w:val="0083255D"/>
    <w:pPr>
      <w:spacing w:line="264" w:lineRule="auto"/>
    </w:pPr>
    <w:rPr>
      <w:noProof/>
    </w:rPr>
  </w:style>
  <w:style w:type="paragraph" w:customStyle="1" w:styleId="ISSN">
    <w:name w:val="ISSN"/>
    <w:basedOn w:val="Normal"/>
    <w:uiPriority w:val="99"/>
    <w:rsid w:val="0083255D"/>
    <w:pPr>
      <w:spacing w:line="264" w:lineRule="auto"/>
    </w:pPr>
    <w:rPr>
      <w:noProof/>
    </w:rPr>
  </w:style>
  <w:style w:type="paragraph" w:customStyle="1" w:styleId="JEL">
    <w:name w:val="JEL"/>
    <w:basedOn w:val="Normal"/>
    <w:uiPriority w:val="99"/>
    <w:rsid w:val="00454C48"/>
    <w:pPr>
      <w:spacing w:before="420" w:after="240" w:line="264" w:lineRule="auto"/>
    </w:pPr>
    <w:rPr>
      <w:noProof/>
    </w:rPr>
  </w:style>
  <w:style w:type="paragraph" w:customStyle="1" w:styleId="Keywords">
    <w:name w:val="Keywords"/>
    <w:basedOn w:val="Normal"/>
    <w:uiPriority w:val="99"/>
    <w:rsid w:val="00B05B02"/>
    <w:pPr>
      <w:spacing w:before="120" w:after="240" w:line="264" w:lineRule="auto"/>
    </w:pPr>
    <w:rPr>
      <w:noProof/>
    </w:rPr>
  </w:style>
  <w:style w:type="paragraph" w:customStyle="1" w:styleId="EmailAddress">
    <w:name w:val="Email Address"/>
    <w:basedOn w:val="Normal"/>
    <w:uiPriority w:val="99"/>
    <w:rsid w:val="00B05B02"/>
    <w:pPr>
      <w:spacing w:before="120" w:after="600" w:line="264" w:lineRule="auto"/>
    </w:pPr>
    <w:rPr>
      <w:noProof/>
    </w:rPr>
  </w:style>
  <w:style w:type="character" w:styleId="Hyperlink">
    <w:name w:val="Hyperlink"/>
    <w:basedOn w:val="DefaultParagraphFont"/>
    <w:uiPriority w:val="99"/>
    <w:rsid w:val="0083255D"/>
    <w:rPr>
      <w:rFonts w:cs="Times New Roman"/>
      <w:color w:val="0000FF"/>
      <w:u w:val="single"/>
    </w:rPr>
  </w:style>
  <w:style w:type="paragraph" w:customStyle="1" w:styleId="Department">
    <w:name w:val="Department"/>
    <w:basedOn w:val="Normal"/>
    <w:uiPriority w:val="99"/>
    <w:rsid w:val="00102568"/>
    <w:pPr>
      <w:spacing w:before="300" w:after="360"/>
      <w:jc w:val="center"/>
    </w:pPr>
  </w:style>
  <w:style w:type="paragraph" w:customStyle="1" w:styleId="Disclaimer">
    <w:name w:val="Disclaimer"/>
    <w:basedOn w:val="Normal"/>
    <w:uiPriority w:val="99"/>
    <w:rsid w:val="003E0060"/>
  </w:style>
  <w:style w:type="paragraph" w:customStyle="1" w:styleId="WPNumber">
    <w:name w:val="WP Number"/>
    <w:basedOn w:val="Normal"/>
    <w:uiPriority w:val="99"/>
    <w:qFormat/>
    <w:rsid w:val="003E0060"/>
    <w:pPr>
      <w:tabs>
        <w:tab w:val="left" w:pos="-1440"/>
        <w:tab w:val="right" w:pos="9000"/>
      </w:tabs>
      <w:spacing w:line="264" w:lineRule="auto"/>
    </w:pPr>
    <w:rPr>
      <w:sz w:val="20"/>
    </w:rPr>
  </w:style>
  <w:style w:type="paragraph" w:customStyle="1" w:styleId="CoverWPNumber">
    <w:name w:val="Cover WP Number"/>
    <w:basedOn w:val="Header"/>
    <w:uiPriority w:val="99"/>
    <w:qFormat/>
    <w:rsid w:val="00482FCE"/>
    <w:pPr>
      <w:jc w:val="right"/>
    </w:pPr>
    <w:rPr>
      <w:noProof/>
      <w:sz w:val="36"/>
    </w:rPr>
  </w:style>
  <w:style w:type="character" w:customStyle="1" w:styleId="FootnoteTextChar">
    <w:name w:val="Footnote Text Char"/>
    <w:link w:val="FootnoteText"/>
    <w:uiPriority w:val="99"/>
    <w:rsid w:val="008C1395"/>
  </w:style>
  <w:style w:type="paragraph" w:styleId="ListParagraph">
    <w:name w:val="List Paragraph"/>
    <w:basedOn w:val="Normal"/>
    <w:uiPriority w:val="34"/>
    <w:qFormat/>
    <w:rsid w:val="004C26A3"/>
    <w:pPr>
      <w:ind w:left="720"/>
      <w:contextualSpacing/>
    </w:pPr>
  </w:style>
  <w:style w:type="paragraph" w:styleId="NormalWeb">
    <w:name w:val="Normal (Web)"/>
    <w:basedOn w:val="Normal"/>
    <w:uiPriority w:val="99"/>
    <w:unhideWhenUsed/>
    <w:rsid w:val="002D4249"/>
    <w:pPr>
      <w:spacing w:before="100" w:beforeAutospacing="1" w:after="100" w:afterAutospacing="1"/>
    </w:pPr>
    <w:rPr>
      <w:rFonts w:eastAsiaTheme="minorEastAsia"/>
      <w:szCs w:val="24"/>
    </w:rPr>
  </w:style>
  <w:style w:type="paragraph" w:styleId="BalloonText">
    <w:name w:val="Balloon Text"/>
    <w:basedOn w:val="Normal"/>
    <w:link w:val="BalloonTextChar"/>
    <w:rsid w:val="00341CA8"/>
    <w:rPr>
      <w:rFonts w:ascii="Tahoma" w:hAnsi="Tahoma" w:cs="Tahoma"/>
      <w:sz w:val="16"/>
      <w:szCs w:val="16"/>
    </w:rPr>
  </w:style>
  <w:style w:type="character" w:customStyle="1" w:styleId="BalloonTextChar">
    <w:name w:val="Balloon Text Char"/>
    <w:basedOn w:val="DefaultParagraphFont"/>
    <w:link w:val="BalloonText"/>
    <w:rsid w:val="00341CA8"/>
    <w:rPr>
      <w:rFonts w:ascii="Tahoma" w:hAnsi="Tahoma" w:cs="Tahoma"/>
      <w:sz w:val="16"/>
      <w:szCs w:val="16"/>
    </w:rPr>
  </w:style>
  <w:style w:type="character" w:customStyle="1" w:styleId="FooterChar">
    <w:name w:val="Footer Char"/>
    <w:basedOn w:val="DefaultParagraphFont"/>
    <w:link w:val="Footer"/>
    <w:uiPriority w:val="99"/>
    <w:rsid w:val="003A6A25"/>
    <w:rPr>
      <w:sz w:val="24"/>
    </w:rPr>
  </w:style>
  <w:style w:type="paragraph" w:styleId="TOC1">
    <w:name w:val="toc 1"/>
    <w:basedOn w:val="Normal"/>
    <w:next w:val="Normal"/>
    <w:autoRedefine/>
    <w:uiPriority w:val="39"/>
    <w:unhideWhenUsed/>
    <w:rsid w:val="008F1B0B"/>
    <w:pPr>
      <w:tabs>
        <w:tab w:val="right" w:leader="dot" w:pos="9345"/>
      </w:tabs>
      <w:spacing w:line="360" w:lineRule="auto"/>
    </w:pPr>
    <w:rPr>
      <w:noProof/>
      <w:szCs w:val="24"/>
      <w:lang w:eastAsia="ru-RU"/>
    </w:rPr>
  </w:style>
  <w:style w:type="character" w:styleId="CommentReference">
    <w:name w:val="annotation reference"/>
    <w:basedOn w:val="DefaultParagraphFont"/>
    <w:semiHidden/>
    <w:unhideWhenUsed/>
    <w:rsid w:val="006B01B1"/>
    <w:rPr>
      <w:sz w:val="16"/>
      <w:szCs w:val="16"/>
    </w:rPr>
  </w:style>
  <w:style w:type="paragraph" w:styleId="CommentText">
    <w:name w:val="annotation text"/>
    <w:basedOn w:val="Normal"/>
    <w:link w:val="CommentTextChar"/>
    <w:semiHidden/>
    <w:unhideWhenUsed/>
    <w:rsid w:val="006B01B1"/>
    <w:rPr>
      <w:sz w:val="20"/>
    </w:rPr>
  </w:style>
  <w:style w:type="character" w:customStyle="1" w:styleId="CommentTextChar">
    <w:name w:val="Comment Text Char"/>
    <w:basedOn w:val="DefaultParagraphFont"/>
    <w:link w:val="CommentText"/>
    <w:semiHidden/>
    <w:rsid w:val="006B01B1"/>
  </w:style>
  <w:style w:type="paragraph" w:styleId="CommentSubject">
    <w:name w:val="annotation subject"/>
    <w:basedOn w:val="CommentText"/>
    <w:next w:val="CommentText"/>
    <w:link w:val="CommentSubjectChar"/>
    <w:semiHidden/>
    <w:unhideWhenUsed/>
    <w:rsid w:val="006B01B1"/>
    <w:rPr>
      <w:b/>
      <w:bCs/>
    </w:rPr>
  </w:style>
  <w:style w:type="character" w:customStyle="1" w:styleId="CommentSubjectChar">
    <w:name w:val="Comment Subject Char"/>
    <w:basedOn w:val="CommentTextChar"/>
    <w:link w:val="CommentSubject"/>
    <w:semiHidden/>
    <w:rsid w:val="006B01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02069">
      <w:bodyDiv w:val="1"/>
      <w:marLeft w:val="0"/>
      <w:marRight w:val="0"/>
      <w:marTop w:val="0"/>
      <w:marBottom w:val="0"/>
      <w:divBdr>
        <w:top w:val="none" w:sz="0" w:space="0" w:color="auto"/>
        <w:left w:val="none" w:sz="0" w:space="0" w:color="auto"/>
        <w:bottom w:val="none" w:sz="0" w:space="0" w:color="auto"/>
        <w:right w:val="none" w:sz="0" w:space="0" w:color="auto"/>
      </w:divBdr>
    </w:div>
    <w:div w:id="80492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oleObject" Target="embeddings/oleObject4.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17.bin"/><Relationship Id="rId84" Type="http://schemas.openxmlformats.org/officeDocument/2006/relationships/oleObject" Target="embeddings/oleObject26.bin"/><Relationship Id="rId89" Type="http://schemas.openxmlformats.org/officeDocument/2006/relationships/image" Target="media/image45.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3.emf"/><Relationship Id="rId107" Type="http://schemas.openxmlformats.org/officeDocument/2006/relationships/image" Target="media/image53.png"/><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image" Target="media/image16.emf"/><Relationship Id="rId37" Type="http://schemas.openxmlformats.org/officeDocument/2006/relationships/image" Target="media/image20.wmf"/><Relationship Id="rId40" Type="http://schemas.openxmlformats.org/officeDocument/2006/relationships/oleObject" Target="embeddings/oleObject3.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oleObject" Target="embeddings/oleObject23.bin"/><Relationship Id="rId87" Type="http://schemas.openxmlformats.org/officeDocument/2006/relationships/image" Target="media/image44.wmf"/><Relationship Id="rId102" Type="http://schemas.openxmlformats.org/officeDocument/2006/relationships/chart" Target="charts/chart11.xml"/><Relationship Id="rId110" Type="http://schemas.openxmlformats.org/officeDocument/2006/relationships/hyperlink" Target="http://www.bankofengland.co.uk/publications/Documents/quarterlybulletin/qb100403.pdf" TargetMode="External"/><Relationship Id="rId5" Type="http://schemas.openxmlformats.org/officeDocument/2006/relationships/settings" Target="settings.xml"/><Relationship Id="rId61" Type="http://schemas.openxmlformats.org/officeDocument/2006/relationships/image" Target="media/image32.wmf"/><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chart" Target="charts/chart8.xml"/><Relationship Id="rId1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36.wmf"/><Relationship Id="rId77" Type="http://schemas.openxmlformats.org/officeDocument/2006/relationships/oleObject" Target="embeddings/oleObject22.bin"/><Relationship Id="rId100" Type="http://schemas.openxmlformats.org/officeDocument/2006/relationships/chart" Target="charts/chart9.xml"/><Relationship Id="rId105" Type="http://schemas.openxmlformats.org/officeDocument/2006/relationships/image" Target="media/image51.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19.bin"/><Relationship Id="rId80" Type="http://schemas.openxmlformats.org/officeDocument/2006/relationships/oleObject" Target="embeddings/oleObject24.bin"/><Relationship Id="rId85" Type="http://schemas.openxmlformats.org/officeDocument/2006/relationships/image" Target="media/image43.wmf"/><Relationship Id="rId93" Type="http://schemas.openxmlformats.org/officeDocument/2006/relationships/chart" Target="charts/chart6.xml"/><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chart" Target="charts/chart12.xml"/><Relationship Id="rId108" Type="http://schemas.openxmlformats.org/officeDocument/2006/relationships/hyperlink" Target="https://www.cba.am/EN/pperiodicals/fin_stab_14_eng.pdf" TargetMode="External"/><Relationship Id="rId20" Type="http://schemas.openxmlformats.org/officeDocument/2006/relationships/chart" Target="charts/chart3.xml"/><Relationship Id="rId41" Type="http://schemas.openxmlformats.org/officeDocument/2006/relationships/image" Target="media/image22.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39.wmf"/><Relationship Id="rId83" Type="http://schemas.openxmlformats.org/officeDocument/2006/relationships/image" Target="media/image42.wmf"/><Relationship Id="rId88" Type="http://schemas.openxmlformats.org/officeDocument/2006/relationships/oleObject" Target="embeddings/oleObject28.bin"/><Relationship Id="rId91" Type="http://schemas.openxmlformats.org/officeDocument/2006/relationships/image" Target="media/image46.wmf"/><Relationship Id="rId96" Type="http://schemas.openxmlformats.org/officeDocument/2006/relationships/image" Target="media/image47.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4.xml"/><Relationship Id="rId28" Type="http://schemas.openxmlformats.org/officeDocument/2006/relationships/image" Target="media/image12.emf"/><Relationship Id="rId36" Type="http://schemas.openxmlformats.org/officeDocument/2006/relationships/oleObject" Target="embeddings/oleObject1.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52.png"/><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0.wmf"/><Relationship Id="rId81" Type="http://schemas.openxmlformats.org/officeDocument/2006/relationships/image" Target="media/image41.wmf"/><Relationship Id="rId86" Type="http://schemas.openxmlformats.org/officeDocument/2006/relationships/oleObject" Target="embeddings/oleObject27.bin"/><Relationship Id="rId94" Type="http://schemas.openxmlformats.org/officeDocument/2006/relationships/chart" Target="charts/chart7.xml"/><Relationship Id="rId99" Type="http://schemas.openxmlformats.org/officeDocument/2006/relationships/oleObject" Target="embeddings/oleObject31.bin"/><Relationship Id="rId10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knarik.ayvazyan@cba.am" TargetMode="External"/><Relationship Id="rId18" Type="http://schemas.openxmlformats.org/officeDocument/2006/relationships/image" Target="media/image6.emf"/><Relationship Id="rId39" Type="http://schemas.openxmlformats.org/officeDocument/2006/relationships/image" Target="media/image21.wmf"/><Relationship Id="rId109" Type="http://schemas.openxmlformats.org/officeDocument/2006/relationships/hyperlink" Target="http://papers.ssrn.com/sol3/papers.cfm?abstract_id=2464076" TargetMode="External"/><Relationship Id="rId34" Type="http://schemas.openxmlformats.org/officeDocument/2006/relationships/image" Target="media/image18.emf"/><Relationship Id="rId50" Type="http://schemas.openxmlformats.org/officeDocument/2006/relationships/oleObject" Target="embeddings/oleObject8.bin"/><Relationship Id="rId55" Type="http://schemas.openxmlformats.org/officeDocument/2006/relationships/image" Target="media/image29.wmf"/><Relationship Id="rId76" Type="http://schemas.openxmlformats.org/officeDocument/2006/relationships/oleObject" Target="embeddings/oleObject21.bin"/><Relationship Id="rId97" Type="http://schemas.openxmlformats.org/officeDocument/2006/relationships/image" Target="media/image48.png"/><Relationship Id="rId104" Type="http://schemas.openxmlformats.org/officeDocument/2006/relationships/chart" Target="charts/chart13.xml"/><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oleObject" Target="embeddings/oleObject30.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office12\IMF%20Templates\PDP-Working%20Paper.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Knarik\Desktop\REVISED--figures.xlsx" TargetMode="External"/><Relationship Id="rId1" Type="http://schemas.openxmlformats.org/officeDocument/2006/relationships/image" Target="../media/image50.jpeg"/></Relationships>
</file>

<file path=word/charts/_rels/chart11.xml.rels><?xml version="1.0" encoding="UTF-8" standalone="yes"?>
<Relationships xmlns="http://schemas.openxmlformats.org/package/2006/relationships"><Relationship Id="rId1" Type="http://schemas.openxmlformats.org/officeDocument/2006/relationships/oleObject" Target="file:///C:\Users\Knarik\Desktop\REVISED--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narik\Desktop\REVISED--figures.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narik\Desktop\REVISED--figures.xlsx" TargetMode="External"/><Relationship Id="rId1" Type="http://schemas.openxmlformats.org/officeDocument/2006/relationships/image" Target="../media/image50.jpeg"/></Relationships>
</file>

<file path=word/charts/_rels/chart2.xml.rels><?xml version="1.0" encoding="UTF-8" standalone="yes"?>
<Relationships xmlns="http://schemas.openxmlformats.org/package/2006/relationships"><Relationship Id="rId1" Type="http://schemas.openxmlformats.org/officeDocument/2006/relationships/oleObject" Target="file:///F:\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fig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fig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fig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narik\Desktop\REVISED--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800" b="1" i="0" u="none" strike="noStrike" baseline="0">
                <a:effectLst/>
                <a:latin typeface="Times New Roman" panose="02020603050405020304" pitchFamily="18" charset="0"/>
                <a:cs typeface="Times New Roman" panose="02020603050405020304" pitchFamily="18" charset="0"/>
              </a:rPr>
              <a:t>Figure 2: Commodity prices (2005=100)</a:t>
            </a:r>
            <a:endParaRPr lang="en-US" sz="800">
              <a:latin typeface="Times New Roman" panose="02020603050405020304" pitchFamily="18" charset="0"/>
              <a:cs typeface="Times New Roman" panose="02020603050405020304" pitchFamily="18" charset="0"/>
            </a:endParaRPr>
          </a:p>
        </c:rich>
      </c:tx>
      <c:layout>
        <c:manualLayout>
          <c:xMode val="edge"/>
          <c:yMode val="edge"/>
          <c:x val="0.1603469746504789"/>
          <c:y val="2.863278453829635E-2"/>
        </c:manualLayout>
      </c:layout>
      <c:overlay val="0"/>
    </c:title>
    <c:autoTitleDeleted val="0"/>
    <c:plotArea>
      <c:layout>
        <c:manualLayout>
          <c:layoutTarget val="inner"/>
          <c:xMode val="edge"/>
          <c:yMode val="edge"/>
          <c:x val="0.10845503660957238"/>
          <c:y val="0.14896882521037771"/>
          <c:w val="0.86955767297128694"/>
          <c:h val="0.62910063019633222"/>
        </c:manualLayout>
      </c:layout>
      <c:lineChart>
        <c:grouping val="standard"/>
        <c:varyColors val="0"/>
        <c:ser>
          <c:idx val="1"/>
          <c:order val="0"/>
          <c:tx>
            <c:strRef>
              <c:f>Figure3!$B$1</c:f>
              <c:strCache>
                <c:ptCount val="1"/>
                <c:pt idx="0">
                  <c:v>Metals Price Index</c:v>
                </c:pt>
              </c:strCache>
            </c:strRef>
          </c:tx>
          <c:spPr>
            <a:ln>
              <a:prstDash val="sysDash"/>
            </a:ln>
          </c:spPr>
          <c:marker>
            <c:symbol val="none"/>
          </c:marker>
          <c:cat>
            <c:numRef>
              <c:f>'figure_1,2'!$A$43:$A$79</c:f>
              <c:numCache>
                <c:formatCode>[$-409]mmm\-yy;@</c:formatCode>
                <c:ptCount val="37"/>
                <c:pt idx="0">
                  <c:v>38416</c:v>
                </c:pt>
                <c:pt idx="1">
                  <c:v>38506</c:v>
                </c:pt>
                <c:pt idx="2">
                  <c:v>38596</c:v>
                </c:pt>
                <c:pt idx="3">
                  <c:v>38687</c:v>
                </c:pt>
                <c:pt idx="4">
                  <c:v>38777</c:v>
                </c:pt>
                <c:pt idx="5">
                  <c:v>38870</c:v>
                </c:pt>
                <c:pt idx="6">
                  <c:v>38963</c:v>
                </c:pt>
                <c:pt idx="7">
                  <c:v>39053</c:v>
                </c:pt>
                <c:pt idx="8">
                  <c:v>39143</c:v>
                </c:pt>
                <c:pt idx="9">
                  <c:v>39236</c:v>
                </c:pt>
                <c:pt idx="10">
                  <c:v>39326</c:v>
                </c:pt>
                <c:pt idx="11">
                  <c:v>39419</c:v>
                </c:pt>
                <c:pt idx="12">
                  <c:v>39509</c:v>
                </c:pt>
                <c:pt idx="13">
                  <c:v>39602</c:v>
                </c:pt>
                <c:pt idx="14">
                  <c:v>39695</c:v>
                </c:pt>
                <c:pt idx="15">
                  <c:v>39788</c:v>
                </c:pt>
                <c:pt idx="16">
                  <c:v>39881</c:v>
                </c:pt>
                <c:pt idx="17">
                  <c:v>39974</c:v>
                </c:pt>
                <c:pt idx="18">
                  <c:v>40067</c:v>
                </c:pt>
                <c:pt idx="19">
                  <c:v>40160</c:v>
                </c:pt>
                <c:pt idx="20">
                  <c:v>40253</c:v>
                </c:pt>
                <c:pt idx="21">
                  <c:v>40346</c:v>
                </c:pt>
                <c:pt idx="22">
                  <c:v>40439</c:v>
                </c:pt>
                <c:pt idx="23">
                  <c:v>40532</c:v>
                </c:pt>
                <c:pt idx="24">
                  <c:v>40625</c:v>
                </c:pt>
                <c:pt idx="25">
                  <c:v>40718</c:v>
                </c:pt>
                <c:pt idx="26">
                  <c:v>40811</c:v>
                </c:pt>
                <c:pt idx="27">
                  <c:v>40904</c:v>
                </c:pt>
                <c:pt idx="28">
                  <c:v>40997</c:v>
                </c:pt>
                <c:pt idx="29">
                  <c:v>41090</c:v>
                </c:pt>
                <c:pt idx="30">
                  <c:v>41180</c:v>
                </c:pt>
                <c:pt idx="31">
                  <c:v>41273</c:v>
                </c:pt>
                <c:pt idx="32">
                  <c:v>41363</c:v>
                </c:pt>
                <c:pt idx="33">
                  <c:v>41453</c:v>
                </c:pt>
                <c:pt idx="34">
                  <c:v>41546</c:v>
                </c:pt>
                <c:pt idx="35">
                  <c:v>41639</c:v>
                </c:pt>
                <c:pt idx="36">
                  <c:v>41729</c:v>
                </c:pt>
              </c:numCache>
            </c:numRef>
          </c:cat>
          <c:val>
            <c:numRef>
              <c:f>Figure3!$B$46:$B$82</c:f>
              <c:numCache>
                <c:formatCode>General</c:formatCode>
                <c:ptCount val="37"/>
                <c:pt idx="0">
                  <c:v>99.750444947468353</c:v>
                </c:pt>
                <c:pt idx="1">
                  <c:v>96.414092124673161</c:v>
                </c:pt>
                <c:pt idx="2">
                  <c:v>99.899626628423761</c:v>
                </c:pt>
                <c:pt idx="3">
                  <c:v>115.68180502019158</c:v>
                </c:pt>
                <c:pt idx="4">
                  <c:v>130.1934860051708</c:v>
                </c:pt>
                <c:pt idx="5">
                  <c:v>153.98062101512051</c:v>
                </c:pt>
                <c:pt idx="6">
                  <c:v>166.34476609609672</c:v>
                </c:pt>
                <c:pt idx="7">
                  <c:v>177.03984891504021</c:v>
                </c:pt>
                <c:pt idx="8">
                  <c:v>183.76342910815723</c:v>
                </c:pt>
                <c:pt idx="9">
                  <c:v>197.35544723695554</c:v>
                </c:pt>
                <c:pt idx="10">
                  <c:v>174.84356364983529</c:v>
                </c:pt>
                <c:pt idx="11">
                  <c:v>162.56443193645777</c:v>
                </c:pt>
                <c:pt idx="12">
                  <c:v>201.06681840856729</c:v>
                </c:pt>
                <c:pt idx="13">
                  <c:v>186.27252612332103</c:v>
                </c:pt>
                <c:pt idx="14">
                  <c:v>164.10163454597543</c:v>
                </c:pt>
                <c:pt idx="15">
                  <c:v>107.50560383561114</c:v>
                </c:pt>
                <c:pt idx="16">
                  <c:v>105.53759810062535</c:v>
                </c:pt>
                <c:pt idx="17">
                  <c:v>130.89336352623758</c:v>
                </c:pt>
                <c:pt idx="18">
                  <c:v>151.26721199400728</c:v>
                </c:pt>
                <c:pt idx="19">
                  <c:v>176.78207721529472</c:v>
                </c:pt>
                <c:pt idx="20">
                  <c:v>198.98009182799365</c:v>
                </c:pt>
                <c:pt idx="21">
                  <c:v>182.87641541924694</c:v>
                </c:pt>
                <c:pt idx="22">
                  <c:v>202.23718332231579</c:v>
                </c:pt>
                <c:pt idx="23">
                  <c:v>233.5825253200984</c:v>
                </c:pt>
                <c:pt idx="24">
                  <c:v>244.20963582715572</c:v>
                </c:pt>
                <c:pt idx="25">
                  <c:v>235.71055684290872</c:v>
                </c:pt>
                <c:pt idx="26">
                  <c:v>224.10250581629921</c:v>
                </c:pt>
                <c:pt idx="27">
                  <c:v>192.10915226451527</c:v>
                </c:pt>
                <c:pt idx="28">
                  <c:v>206.92333473630185</c:v>
                </c:pt>
                <c:pt idx="29">
                  <c:v>185.68982993389258</c:v>
                </c:pt>
                <c:pt idx="30">
                  <c:v>179.91933946829701</c:v>
                </c:pt>
                <c:pt idx="31">
                  <c:v>192.74123445815999</c:v>
                </c:pt>
                <c:pt idx="32">
                  <c:v>190.63628359661772</c:v>
                </c:pt>
                <c:pt idx="33">
                  <c:v>169.66279763124442</c:v>
                </c:pt>
                <c:pt idx="34">
                  <c:v>177.65009726312815</c:v>
                </c:pt>
                <c:pt idx="35">
                  <c:v>179.13593084305577</c:v>
                </c:pt>
                <c:pt idx="36">
                  <c:v>165.02116980692207</c:v>
                </c:pt>
              </c:numCache>
            </c:numRef>
          </c:val>
          <c:smooth val="0"/>
        </c:ser>
        <c:ser>
          <c:idx val="2"/>
          <c:order val="1"/>
          <c:tx>
            <c:strRef>
              <c:f>Figure3!$C$1</c:f>
              <c:strCache>
                <c:ptCount val="1"/>
                <c:pt idx="0">
                  <c:v>Crude Oil price index </c:v>
                </c:pt>
              </c:strCache>
            </c:strRef>
          </c:tx>
          <c:marker>
            <c:symbol val="none"/>
          </c:marker>
          <c:cat>
            <c:numRef>
              <c:f>'figure_1,2'!$A$43:$A$79</c:f>
              <c:numCache>
                <c:formatCode>[$-409]mmm\-yy;@</c:formatCode>
                <c:ptCount val="37"/>
                <c:pt idx="0">
                  <c:v>38416</c:v>
                </c:pt>
                <c:pt idx="1">
                  <c:v>38506</c:v>
                </c:pt>
                <c:pt idx="2">
                  <c:v>38596</c:v>
                </c:pt>
                <c:pt idx="3">
                  <c:v>38687</c:v>
                </c:pt>
                <c:pt idx="4">
                  <c:v>38777</c:v>
                </c:pt>
                <c:pt idx="5">
                  <c:v>38870</c:v>
                </c:pt>
                <c:pt idx="6">
                  <c:v>38963</c:v>
                </c:pt>
                <c:pt idx="7">
                  <c:v>39053</c:v>
                </c:pt>
                <c:pt idx="8">
                  <c:v>39143</c:v>
                </c:pt>
                <c:pt idx="9">
                  <c:v>39236</c:v>
                </c:pt>
                <c:pt idx="10">
                  <c:v>39326</c:v>
                </c:pt>
                <c:pt idx="11">
                  <c:v>39419</c:v>
                </c:pt>
                <c:pt idx="12">
                  <c:v>39509</c:v>
                </c:pt>
                <c:pt idx="13">
                  <c:v>39602</c:v>
                </c:pt>
                <c:pt idx="14">
                  <c:v>39695</c:v>
                </c:pt>
                <c:pt idx="15">
                  <c:v>39788</c:v>
                </c:pt>
                <c:pt idx="16">
                  <c:v>39881</c:v>
                </c:pt>
                <c:pt idx="17">
                  <c:v>39974</c:v>
                </c:pt>
                <c:pt idx="18">
                  <c:v>40067</c:v>
                </c:pt>
                <c:pt idx="19">
                  <c:v>40160</c:v>
                </c:pt>
                <c:pt idx="20">
                  <c:v>40253</c:v>
                </c:pt>
                <c:pt idx="21">
                  <c:v>40346</c:v>
                </c:pt>
                <c:pt idx="22">
                  <c:v>40439</c:v>
                </c:pt>
                <c:pt idx="23">
                  <c:v>40532</c:v>
                </c:pt>
                <c:pt idx="24">
                  <c:v>40625</c:v>
                </c:pt>
                <c:pt idx="25">
                  <c:v>40718</c:v>
                </c:pt>
                <c:pt idx="26">
                  <c:v>40811</c:v>
                </c:pt>
                <c:pt idx="27">
                  <c:v>40904</c:v>
                </c:pt>
                <c:pt idx="28">
                  <c:v>40997</c:v>
                </c:pt>
                <c:pt idx="29">
                  <c:v>41090</c:v>
                </c:pt>
                <c:pt idx="30">
                  <c:v>41180</c:v>
                </c:pt>
                <c:pt idx="31">
                  <c:v>41273</c:v>
                </c:pt>
                <c:pt idx="32">
                  <c:v>41363</c:v>
                </c:pt>
                <c:pt idx="33">
                  <c:v>41453</c:v>
                </c:pt>
                <c:pt idx="34">
                  <c:v>41546</c:v>
                </c:pt>
                <c:pt idx="35">
                  <c:v>41639</c:v>
                </c:pt>
                <c:pt idx="36">
                  <c:v>41729</c:v>
                </c:pt>
              </c:numCache>
            </c:numRef>
          </c:cat>
          <c:val>
            <c:numRef>
              <c:f>Figure3!$C$46:$C$82</c:f>
              <c:numCache>
                <c:formatCode>General</c:formatCode>
                <c:ptCount val="37"/>
                <c:pt idx="0">
                  <c:v>95.374122820646349</c:v>
                </c:pt>
                <c:pt idx="1">
                  <c:v>101.09676896085915</c:v>
                </c:pt>
                <c:pt idx="2">
                  <c:v>115.57631443345981</c:v>
                </c:pt>
                <c:pt idx="3">
                  <c:v>105.83099214039588</c:v>
                </c:pt>
                <c:pt idx="4">
                  <c:v>114.31632998521967</c:v>
                </c:pt>
                <c:pt idx="5">
                  <c:v>128.14579255067818</c:v>
                </c:pt>
                <c:pt idx="6">
                  <c:v>116.6202384538761</c:v>
                </c:pt>
                <c:pt idx="7">
                  <c:v>114.5185119788302</c:v>
                </c:pt>
                <c:pt idx="8">
                  <c:v>113.8450788256103</c:v>
                </c:pt>
                <c:pt idx="9">
                  <c:v>128.08138231286375</c:v>
                </c:pt>
                <c:pt idx="10">
                  <c:v>144.04823241321861</c:v>
                </c:pt>
                <c:pt idx="11">
                  <c:v>168.04762683871527</c:v>
                </c:pt>
                <c:pt idx="12">
                  <c:v>191.09721627717033</c:v>
                </c:pt>
                <c:pt idx="13">
                  <c:v>247.00763423881705</c:v>
                </c:pt>
                <c:pt idx="14">
                  <c:v>187.06074532942534</c:v>
                </c:pt>
                <c:pt idx="15">
                  <c:v>77.711347658377534</c:v>
                </c:pt>
                <c:pt idx="16">
                  <c:v>87.891450968014524</c:v>
                </c:pt>
                <c:pt idx="17">
                  <c:v>129.98647395910461</c:v>
                </c:pt>
                <c:pt idx="18">
                  <c:v>128.46547270949097</c:v>
                </c:pt>
                <c:pt idx="19">
                  <c:v>140.85577341681238</c:v>
                </c:pt>
                <c:pt idx="20">
                  <c:v>148.94297236473599</c:v>
                </c:pt>
                <c:pt idx="21">
                  <c:v>140.45075314687398</c:v>
                </c:pt>
                <c:pt idx="22">
                  <c:v>143.08396884055119</c:v>
                </c:pt>
                <c:pt idx="23">
                  <c:v>169.32510107721291</c:v>
                </c:pt>
                <c:pt idx="24">
                  <c:v>204.41686526709032</c:v>
                </c:pt>
                <c:pt idx="25">
                  <c:v>199.35012552412556</c:v>
                </c:pt>
                <c:pt idx="26">
                  <c:v>190.27385434602971</c:v>
                </c:pt>
                <c:pt idx="27">
                  <c:v>196.30707676420832</c:v>
                </c:pt>
                <c:pt idx="28">
                  <c:v>222.02889721977564</c:v>
                </c:pt>
                <c:pt idx="29">
                  <c:v>171.01620487579603</c:v>
                </c:pt>
                <c:pt idx="30">
                  <c:v>200.47757790586036</c:v>
                </c:pt>
                <c:pt idx="31">
                  <c:v>190.8097614254697</c:v>
                </c:pt>
                <c:pt idx="32">
                  <c:v>193.3481393279406</c:v>
                </c:pt>
                <c:pt idx="33">
                  <c:v>187.68030750320827</c:v>
                </c:pt>
                <c:pt idx="34">
                  <c:v>204.57908094378479</c:v>
                </c:pt>
                <c:pt idx="35">
                  <c:v>198.694015537946</c:v>
                </c:pt>
                <c:pt idx="36">
                  <c:v>195.7246273910466</c:v>
                </c:pt>
              </c:numCache>
            </c:numRef>
          </c:val>
          <c:smooth val="0"/>
        </c:ser>
        <c:dLbls>
          <c:showLegendKey val="0"/>
          <c:showVal val="0"/>
          <c:showCatName val="0"/>
          <c:showSerName val="0"/>
          <c:showPercent val="0"/>
          <c:showBubbleSize val="0"/>
        </c:dLbls>
        <c:marker val="1"/>
        <c:smooth val="0"/>
        <c:axId val="111074304"/>
        <c:axId val="123279232"/>
      </c:lineChart>
      <c:dateAx>
        <c:axId val="111074304"/>
        <c:scaling>
          <c:orientation val="minMax"/>
        </c:scaling>
        <c:delete val="0"/>
        <c:axPos val="b"/>
        <c:numFmt formatCode="[$-409]mmm\-yy;@" sourceLinked="1"/>
        <c:majorTickMark val="none"/>
        <c:minorTickMark val="none"/>
        <c:tickLblPos val="nextTo"/>
        <c:txPr>
          <a:bodyPr/>
          <a:lstStyle/>
          <a:p>
            <a:pPr>
              <a:defRPr lang="en-US" sz="800">
                <a:latin typeface="Times New Roman" panose="02020603050405020304" pitchFamily="18" charset="0"/>
                <a:cs typeface="Times New Roman" panose="02020603050405020304" pitchFamily="18" charset="0"/>
              </a:defRPr>
            </a:pPr>
            <a:endParaRPr lang="en-US"/>
          </a:p>
        </c:txPr>
        <c:crossAx val="123279232"/>
        <c:crosses val="autoZero"/>
        <c:auto val="1"/>
        <c:lblOffset val="100"/>
        <c:baseTimeUnit val="months"/>
        <c:majorUnit val="6"/>
        <c:majorTimeUnit val="months"/>
      </c:dateAx>
      <c:valAx>
        <c:axId val="123279232"/>
        <c:scaling>
          <c:orientation val="minMax"/>
        </c:scaling>
        <c:delete val="0"/>
        <c:axPos val="l"/>
        <c:numFmt formatCode="General" sourceLinked="1"/>
        <c:majorTickMark val="none"/>
        <c:minorTickMark val="none"/>
        <c:tickLblPos val="nextTo"/>
        <c:spPr>
          <a:ln w="9525">
            <a:noFill/>
          </a:ln>
        </c:spPr>
        <c:txPr>
          <a:bodyPr/>
          <a:lstStyle/>
          <a:p>
            <a:pPr>
              <a:defRPr lang="en-US" sz="800">
                <a:latin typeface="Times New Roman" panose="02020603050405020304" pitchFamily="18" charset="0"/>
                <a:cs typeface="Times New Roman" panose="02020603050405020304" pitchFamily="18" charset="0"/>
              </a:defRPr>
            </a:pPr>
            <a:endParaRPr lang="en-US"/>
          </a:p>
        </c:txPr>
        <c:crossAx val="111074304"/>
        <c:crosses val="autoZero"/>
        <c:crossBetween val="between"/>
      </c:valAx>
      <c:spPr>
        <a:ln>
          <a:solidFill>
            <a:schemeClr val="tx1"/>
          </a:solidFill>
        </a:ln>
      </c:spPr>
    </c:plotArea>
    <c:legend>
      <c:legendPos val="b"/>
      <c:layout>
        <c:manualLayout>
          <c:xMode val="edge"/>
          <c:yMode val="edge"/>
          <c:x val="0.46555159440766236"/>
          <c:y val="0.61702185222552919"/>
          <c:w val="0.53091011265494981"/>
          <c:h val="0.1608947987525709"/>
        </c:manualLayout>
      </c:layout>
      <c:overlay val="0"/>
      <c:txPr>
        <a:bodyPr/>
        <a:lstStyle/>
        <a:p>
          <a:pPr>
            <a:defRPr lang="en-US"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3175">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2.3747914649369452E-2"/>
          <c:y val="4.4553895847448774E-2"/>
          <c:w val="0.94709867520862023"/>
          <c:h val="0.74876946652037935"/>
        </c:manualLayout>
      </c:layout>
      <c:barChart>
        <c:barDir val="col"/>
        <c:grouping val="stacked"/>
        <c:varyColors val="0"/>
        <c:ser>
          <c:idx val="0"/>
          <c:order val="0"/>
          <c:tx>
            <c:strRef>
              <c:f>'Figure15+16'!$G$15</c:f>
              <c:strCache>
                <c:ptCount val="1"/>
                <c:pt idx="0">
                  <c:v>Remittances</c:v>
                </c:pt>
              </c:strCache>
            </c:strRef>
          </c:tx>
          <c:spPr>
            <a:solidFill>
              <a:schemeClr val="bg1"/>
            </a:solidFill>
            <a:ln>
              <a:solidFill>
                <a:schemeClr val="tx1"/>
              </a:solidFill>
            </a:ln>
          </c:spPr>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'Figure15+16'!$A$5:$A$12</c:f>
              <c:strCache>
                <c:ptCount val="8"/>
                <c:pt idx="0">
                  <c:v>Q1</c:v>
                </c:pt>
                <c:pt idx="1">
                  <c:v>Q2</c:v>
                </c:pt>
                <c:pt idx="2">
                  <c:v>Q3</c:v>
                </c:pt>
                <c:pt idx="3">
                  <c:v>Q4</c:v>
                </c:pt>
                <c:pt idx="4">
                  <c:v>Q5</c:v>
                </c:pt>
                <c:pt idx="5">
                  <c:v>Q6</c:v>
                </c:pt>
                <c:pt idx="6">
                  <c:v>Q7</c:v>
                </c:pt>
                <c:pt idx="7">
                  <c:v>Q8</c:v>
                </c:pt>
              </c:strCache>
            </c:strRef>
          </c:cat>
          <c:val>
            <c:numRef>
              <c:f>'Figure15+16'!$G$16:$G$23</c:f>
              <c:numCache>
                <c:formatCode>0.0</c:formatCode>
                <c:ptCount val="8"/>
                <c:pt idx="0">
                  <c:v>0</c:v>
                </c:pt>
                <c:pt idx="1">
                  <c:v>0.15211700000000036</c:v>
                </c:pt>
                <c:pt idx="2">
                  <c:v>0.54182100000000166</c:v>
                </c:pt>
                <c:pt idx="3">
                  <c:v>1.2454729999999998</c:v>
                </c:pt>
                <c:pt idx="4">
                  <c:v>1.3993979999999999</c:v>
                </c:pt>
                <c:pt idx="5">
                  <c:v>1.4695939999999958</c:v>
                </c:pt>
                <c:pt idx="6">
                  <c:v>1.1847070000000031</c:v>
                </c:pt>
                <c:pt idx="7">
                  <c:v>1.0895139999999999</c:v>
                </c:pt>
              </c:numCache>
            </c:numRef>
          </c:val>
        </c:ser>
        <c:ser>
          <c:idx val="1"/>
          <c:order val="1"/>
          <c:tx>
            <c:strRef>
              <c:f>'Figure15+16'!$G$26</c:f>
              <c:strCache>
                <c:ptCount val="1"/>
                <c:pt idx="0">
                  <c:v>Export</c:v>
                </c:pt>
              </c:strCache>
            </c:strRef>
          </c:tx>
          <c:spPr>
            <a:solidFill>
              <a:schemeClr val="bg1">
                <a:lumMod val="85000"/>
              </a:schemeClr>
            </a:solidFill>
            <a:ln>
              <a:solidFill>
                <a:schemeClr val="tx1"/>
              </a:solidFill>
            </a:ln>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'Figure15+16'!$A$5:$A$12</c:f>
              <c:strCache>
                <c:ptCount val="8"/>
                <c:pt idx="0">
                  <c:v>Q1</c:v>
                </c:pt>
                <c:pt idx="1">
                  <c:v>Q2</c:v>
                </c:pt>
                <c:pt idx="2">
                  <c:v>Q3</c:v>
                </c:pt>
                <c:pt idx="3">
                  <c:v>Q4</c:v>
                </c:pt>
                <c:pt idx="4">
                  <c:v>Q5</c:v>
                </c:pt>
                <c:pt idx="5">
                  <c:v>Q6</c:v>
                </c:pt>
                <c:pt idx="6">
                  <c:v>Q7</c:v>
                </c:pt>
                <c:pt idx="7">
                  <c:v>Q8</c:v>
                </c:pt>
              </c:strCache>
            </c:strRef>
          </c:cat>
          <c:val>
            <c:numRef>
              <c:f>'Figure15+16'!$G$27:$G$34</c:f>
              <c:numCache>
                <c:formatCode>0.0</c:formatCode>
                <c:ptCount val="8"/>
                <c:pt idx="0">
                  <c:v>5.6561000000000083E-2</c:v>
                </c:pt>
                <c:pt idx="1">
                  <c:v>8.0688000000000024E-2</c:v>
                </c:pt>
                <c:pt idx="2">
                  <c:v>0.13496800000000062</c:v>
                </c:pt>
                <c:pt idx="3">
                  <c:v>0.22312099999999987</c:v>
                </c:pt>
                <c:pt idx="4">
                  <c:v>0.31271800000000038</c:v>
                </c:pt>
                <c:pt idx="5">
                  <c:v>0.37225800000000031</c:v>
                </c:pt>
                <c:pt idx="6">
                  <c:v>0.40986000000000089</c:v>
                </c:pt>
                <c:pt idx="7">
                  <c:v>0.42296900000000032</c:v>
                </c:pt>
              </c:numCache>
            </c:numRef>
          </c:val>
        </c:ser>
        <c:ser>
          <c:idx val="2"/>
          <c:order val="2"/>
          <c:tx>
            <c:strRef>
              <c:f>'Figure15+16'!$G$37</c:f>
              <c:strCache>
                <c:ptCount val="1"/>
                <c:pt idx="0">
                  <c:v>Tourism</c:v>
                </c:pt>
              </c:strCache>
            </c:strRef>
          </c:tx>
          <c:spPr>
            <a:solidFill>
              <a:schemeClr val="bg1">
                <a:lumMod val="65000"/>
              </a:schemeClr>
            </a:solidFill>
            <a:ln>
              <a:solidFill>
                <a:prstClr val="black"/>
              </a:solidFill>
            </a:ln>
          </c:spPr>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'Figure15+16'!$A$5:$A$12</c:f>
              <c:strCache>
                <c:ptCount val="8"/>
                <c:pt idx="0">
                  <c:v>Q1</c:v>
                </c:pt>
                <c:pt idx="1">
                  <c:v>Q2</c:v>
                </c:pt>
                <c:pt idx="2">
                  <c:v>Q3</c:v>
                </c:pt>
                <c:pt idx="3">
                  <c:v>Q4</c:v>
                </c:pt>
                <c:pt idx="4">
                  <c:v>Q5</c:v>
                </c:pt>
                <c:pt idx="5">
                  <c:v>Q6</c:v>
                </c:pt>
                <c:pt idx="6">
                  <c:v>Q7</c:v>
                </c:pt>
                <c:pt idx="7">
                  <c:v>Q8</c:v>
                </c:pt>
              </c:strCache>
            </c:strRef>
          </c:cat>
          <c:val>
            <c:numRef>
              <c:f>'Figure15+16'!$G$38:$G$45</c:f>
              <c:numCache>
                <c:formatCode>0.0</c:formatCode>
                <c:ptCount val="8"/>
                <c:pt idx="0">
                  <c:v>0.10502900000000009</c:v>
                </c:pt>
                <c:pt idx="1">
                  <c:v>2.3034999999999941E-2</c:v>
                </c:pt>
                <c:pt idx="2">
                  <c:v>0.12951399999999991</c:v>
                </c:pt>
                <c:pt idx="3">
                  <c:v>0.49030400000000107</c:v>
                </c:pt>
                <c:pt idx="4">
                  <c:v>0.67396600000000062</c:v>
                </c:pt>
                <c:pt idx="5">
                  <c:v>0.58307899999999957</c:v>
                </c:pt>
                <c:pt idx="6">
                  <c:v>0.50002900000000061</c:v>
                </c:pt>
                <c:pt idx="7">
                  <c:v>0.39443900000000032</c:v>
                </c:pt>
              </c:numCache>
            </c:numRef>
          </c:val>
        </c:ser>
        <c:ser>
          <c:idx val="3"/>
          <c:order val="3"/>
          <c:tx>
            <c:strRef>
              <c:f>'Figure15+16'!$G$59</c:f>
              <c:strCache>
                <c:ptCount val="1"/>
                <c:pt idx="0">
                  <c:v>External borrowing</c:v>
                </c:pt>
              </c:strCache>
            </c:strRef>
          </c:tx>
          <c:spPr>
            <a:blipFill>
              <a:blip xmlns:r="http://schemas.openxmlformats.org/officeDocument/2006/relationships" r:embed="rId1"/>
              <a:tile tx="0" ty="0" sx="100000" sy="100000" flip="none" algn="tl"/>
            </a:blipFill>
            <a:ln>
              <a:solidFill>
                <a:prstClr val="black"/>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'Figure15+16'!$A$5:$A$12</c:f>
              <c:strCache>
                <c:ptCount val="8"/>
                <c:pt idx="0">
                  <c:v>Q1</c:v>
                </c:pt>
                <c:pt idx="1">
                  <c:v>Q2</c:v>
                </c:pt>
                <c:pt idx="2">
                  <c:v>Q3</c:v>
                </c:pt>
                <c:pt idx="3">
                  <c:v>Q4</c:v>
                </c:pt>
                <c:pt idx="4">
                  <c:v>Q5</c:v>
                </c:pt>
                <c:pt idx="5">
                  <c:v>Q6</c:v>
                </c:pt>
                <c:pt idx="6">
                  <c:v>Q7</c:v>
                </c:pt>
                <c:pt idx="7">
                  <c:v>Q8</c:v>
                </c:pt>
              </c:strCache>
            </c:strRef>
          </c:cat>
          <c:val>
            <c:numRef>
              <c:f>'Figure15+16'!$G$60:$G$67</c:f>
              <c:numCache>
                <c:formatCode>0.0</c:formatCode>
                <c:ptCount val="8"/>
                <c:pt idx="0">
                  <c:v>0.29162900000000008</c:v>
                </c:pt>
                <c:pt idx="1">
                  <c:v>0.40314</c:v>
                </c:pt>
                <c:pt idx="2">
                  <c:v>0.42334300000000002</c:v>
                </c:pt>
                <c:pt idx="3">
                  <c:v>0.47760300000000022</c:v>
                </c:pt>
                <c:pt idx="4">
                  <c:v>0.67536800000000063</c:v>
                </c:pt>
                <c:pt idx="5">
                  <c:v>0.86565799999999982</c:v>
                </c:pt>
                <c:pt idx="6">
                  <c:v>1.1142590000000001</c:v>
                </c:pt>
                <c:pt idx="7">
                  <c:v>1.1986500000000035</c:v>
                </c:pt>
              </c:numCache>
            </c:numRef>
          </c:val>
        </c:ser>
        <c:dLbls>
          <c:showLegendKey val="0"/>
          <c:showVal val="1"/>
          <c:showCatName val="0"/>
          <c:showSerName val="0"/>
          <c:showPercent val="0"/>
          <c:showBubbleSize val="0"/>
        </c:dLbls>
        <c:gapWidth val="95"/>
        <c:overlap val="100"/>
        <c:axId val="127214336"/>
        <c:axId val="127217024"/>
      </c:barChart>
      <c:lineChart>
        <c:grouping val="standard"/>
        <c:varyColors val="0"/>
        <c:ser>
          <c:idx val="4"/>
          <c:order val="4"/>
          <c:tx>
            <c:strRef>
              <c:f>'Figure15+16'!$C$3</c:f>
              <c:strCache>
                <c:ptCount val="1"/>
                <c:pt idx="0">
                  <c:v>Overall efect</c:v>
                </c:pt>
              </c:strCache>
            </c:strRef>
          </c:tx>
          <c:spPr>
            <a:ln>
              <a:solidFill>
                <a:schemeClr val="tx1">
                  <a:lumMod val="95000"/>
                  <a:lumOff val="5000"/>
                </a:schemeClr>
              </a:solidFill>
            </a:ln>
          </c:spPr>
          <c:marker>
            <c:symbol val="none"/>
          </c:marker>
          <c:dLbls>
            <c:dLbl>
              <c:idx val="0"/>
              <c:layout>
                <c:manualLayout>
                  <c:x val="-2.0694480700522828E-3"/>
                  <c:y val="-5.83209638254595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486136490365989E-2"/>
                  <c:y val="-8.97245597314769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6.72934197986073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5.38347358388859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87888600921859E-17"/>
                  <c:y val="-3.1403595906016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694480700522828E-3"/>
                  <c:y val="-4.4862279865738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0694480700522828E-3"/>
                  <c:y val="-3.1403595906016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'Figure15+16'!$C$5:$C$12</c:f>
              <c:numCache>
                <c:formatCode>0.0</c:formatCode>
                <c:ptCount val="8"/>
                <c:pt idx="0">
                  <c:v>1.095852</c:v>
                </c:pt>
                <c:pt idx="1">
                  <c:v>1.1400080000000001</c:v>
                </c:pt>
                <c:pt idx="2">
                  <c:v>3.054141</c:v>
                </c:pt>
                <c:pt idx="3">
                  <c:v>3.8687830000000001</c:v>
                </c:pt>
                <c:pt idx="4">
                  <c:v>4.3352620000000135</c:v>
                </c:pt>
                <c:pt idx="5">
                  <c:v>4.1918499999999996</c:v>
                </c:pt>
                <c:pt idx="6">
                  <c:v>4.0973980000000001</c:v>
                </c:pt>
                <c:pt idx="7">
                  <c:v>3.940693</c:v>
                </c:pt>
              </c:numCache>
            </c:numRef>
          </c:val>
          <c:smooth val="0"/>
        </c:ser>
        <c:dLbls>
          <c:showLegendKey val="0"/>
          <c:showVal val="1"/>
          <c:showCatName val="0"/>
          <c:showSerName val="0"/>
          <c:showPercent val="0"/>
          <c:showBubbleSize val="0"/>
        </c:dLbls>
        <c:marker val="1"/>
        <c:smooth val="0"/>
        <c:axId val="127214336"/>
        <c:axId val="127217024"/>
      </c:lineChart>
      <c:catAx>
        <c:axId val="12721433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27217024"/>
        <c:crosses val="autoZero"/>
        <c:auto val="1"/>
        <c:lblAlgn val="ctr"/>
        <c:lblOffset val="100"/>
        <c:noMultiLvlLbl val="0"/>
      </c:catAx>
      <c:valAx>
        <c:axId val="127217024"/>
        <c:scaling>
          <c:orientation val="minMax"/>
        </c:scaling>
        <c:delete val="1"/>
        <c:axPos val="l"/>
        <c:numFmt formatCode="0.0" sourceLinked="1"/>
        <c:majorTickMark val="none"/>
        <c:minorTickMark val="none"/>
        <c:tickLblPos val="none"/>
        <c:crossAx val="127214336"/>
        <c:crosses val="autoZero"/>
        <c:crossBetween val="between"/>
      </c:valAx>
      <c:spPr>
        <a:ln>
          <a:solidFill>
            <a:sysClr val="windowText" lastClr="000000"/>
          </a:solidFill>
        </a:ln>
      </c:spPr>
    </c:plotArea>
    <c:legend>
      <c:legendPos val="t"/>
      <c:layout>
        <c:manualLayout>
          <c:xMode val="edge"/>
          <c:yMode val="edge"/>
          <c:x val="1.0574242322273728E-2"/>
          <c:y val="0.88441693653901476"/>
          <c:w val="0.93782569486506495"/>
          <c:h val="9.9382185641244486E-2"/>
        </c:manualLayout>
      </c:layout>
      <c:overlay val="0"/>
      <c:txPr>
        <a:bodyPr/>
        <a:lstStyle/>
        <a:p>
          <a:pPr>
            <a:defRPr sz="105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Times New Roman" pitchFamily="18" charset="0"/>
                <a:cs typeface="Times New Roman" pitchFamily="18" charset="0"/>
              </a:defRPr>
            </a:pPr>
            <a:r>
              <a:rPr lang="en-US" sz="1100" b="1" i="0" baseline="0">
                <a:effectLst/>
              </a:rPr>
              <a:t>Construction</a:t>
            </a:r>
            <a:endParaRPr lang="en-US" sz="1100">
              <a:effectLst/>
            </a:endParaRPr>
          </a:p>
        </c:rich>
      </c:tx>
      <c:layout>
        <c:manualLayout>
          <c:xMode val="edge"/>
          <c:yMode val="edge"/>
          <c:x val="8.4629821385207894E-3"/>
          <c:y val="3.7710987593604722E-2"/>
        </c:manualLayout>
      </c:layout>
      <c:overlay val="0"/>
    </c:title>
    <c:autoTitleDeleted val="0"/>
    <c:plotArea>
      <c:layout>
        <c:manualLayout>
          <c:layoutTarget val="inner"/>
          <c:xMode val="edge"/>
          <c:yMode val="edge"/>
          <c:x val="2.77777777777779E-3"/>
          <c:y val="2.2283630424898178E-2"/>
          <c:w val="0.98945877919106207"/>
          <c:h val="0.86596008054413687"/>
        </c:manualLayout>
      </c:layout>
      <c:barChart>
        <c:barDir val="col"/>
        <c:grouping val="stacked"/>
        <c:varyColors val="0"/>
        <c:ser>
          <c:idx val="0"/>
          <c:order val="0"/>
          <c:tx>
            <c:strRef>
              <c:f>'G:\[figures.xlsx]figure 17'!$G$15</c:f>
              <c:strCache>
                <c:ptCount val="1"/>
                <c:pt idx="0">
                  <c:v>Remittances</c:v>
                </c:pt>
              </c:strCache>
            </c:strRef>
          </c:tx>
          <c:spPr>
            <a:noFill/>
            <a:ln>
              <a:solidFill>
                <a:schemeClr val="tx1"/>
              </a:solidFill>
            </a:ln>
          </c:spPr>
          <c:invertIfNegative val="0"/>
          <c:dLbls>
            <c:spPr>
              <a:noFill/>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'G:\[figures.xlsx]figure 17'!$A$5:$A$14</c:f>
              <c:strCache>
                <c:ptCount val="10"/>
                <c:pt idx="0">
                  <c:v>Q1</c:v>
                </c:pt>
                <c:pt idx="1">
                  <c:v>Q2</c:v>
                </c:pt>
                <c:pt idx="2">
                  <c:v>Q3</c:v>
                </c:pt>
                <c:pt idx="3">
                  <c:v>Q4</c:v>
                </c:pt>
                <c:pt idx="4">
                  <c:v>Q5</c:v>
                </c:pt>
                <c:pt idx="5">
                  <c:v>Q6</c:v>
                </c:pt>
                <c:pt idx="6">
                  <c:v>Q7</c:v>
                </c:pt>
                <c:pt idx="7">
                  <c:v>Q8</c:v>
                </c:pt>
                <c:pt idx="8">
                  <c:v>Q9</c:v>
                </c:pt>
                <c:pt idx="9">
                  <c:v>Q10</c:v>
                </c:pt>
              </c:strCache>
            </c:strRef>
          </c:cat>
          <c:val>
            <c:numRef>
              <c:f>'G:\[figures.xlsx]figure 17'!$G$16:$G$23</c:f>
              <c:numCache>
                <c:formatCode>0.0</c:formatCode>
                <c:ptCount val="8"/>
                <c:pt idx="0">
                  <c:v>0.36268300000000009</c:v>
                </c:pt>
                <c:pt idx="1">
                  <c:v>1.1467000000000001</c:v>
                </c:pt>
                <c:pt idx="2">
                  <c:v>2.0122490000000002</c:v>
                </c:pt>
                <c:pt idx="3">
                  <c:v>2.4694950000000002</c:v>
                </c:pt>
                <c:pt idx="4">
                  <c:v>2.5945109999999998</c:v>
                </c:pt>
                <c:pt idx="5">
                  <c:v>2.4618349999999998</c:v>
                </c:pt>
                <c:pt idx="6">
                  <c:v>2.2651560000000002</c:v>
                </c:pt>
                <c:pt idx="7">
                  <c:v>2.0950089999999992</c:v>
                </c:pt>
              </c:numCache>
            </c:numRef>
          </c:val>
        </c:ser>
        <c:ser>
          <c:idx val="1"/>
          <c:order val="1"/>
          <c:tx>
            <c:strRef>
              <c:f>'G:\[figures.xlsx]figure 17'!$G$26</c:f>
              <c:strCache>
                <c:ptCount val="1"/>
                <c:pt idx="0">
                  <c:v>Export</c:v>
                </c:pt>
              </c:strCache>
            </c:strRef>
          </c:tx>
          <c:spPr>
            <a:ln>
              <a:solidFill>
                <a:schemeClr val="tx1"/>
              </a:solidFill>
            </a:ln>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'G:\[figures.xlsx]figure 17'!$A$5:$A$14</c:f>
              <c:strCache>
                <c:ptCount val="10"/>
                <c:pt idx="0">
                  <c:v>Q1</c:v>
                </c:pt>
                <c:pt idx="1">
                  <c:v>Q2</c:v>
                </c:pt>
                <c:pt idx="2">
                  <c:v>Q3</c:v>
                </c:pt>
                <c:pt idx="3">
                  <c:v>Q4</c:v>
                </c:pt>
                <c:pt idx="4">
                  <c:v>Q5</c:v>
                </c:pt>
                <c:pt idx="5">
                  <c:v>Q6</c:v>
                </c:pt>
                <c:pt idx="6">
                  <c:v>Q7</c:v>
                </c:pt>
                <c:pt idx="7">
                  <c:v>Q8</c:v>
                </c:pt>
                <c:pt idx="8">
                  <c:v>Q9</c:v>
                </c:pt>
                <c:pt idx="9">
                  <c:v>Q10</c:v>
                </c:pt>
              </c:strCache>
            </c:strRef>
          </c:cat>
          <c:val>
            <c:numRef>
              <c:f>'G:\[figures.xlsx]figure 17'!$G$27:$G$34</c:f>
              <c:numCache>
                <c:formatCode>0.0</c:formatCode>
                <c:ptCount val="8"/>
                <c:pt idx="0">
                  <c:v>-3.1429999999999847E-2</c:v>
                </c:pt>
                <c:pt idx="1">
                  <c:v>4.7560999999999964E-2</c:v>
                </c:pt>
                <c:pt idx="2">
                  <c:v>0.13330899999999968</c:v>
                </c:pt>
                <c:pt idx="3">
                  <c:v>0.19268399999999986</c:v>
                </c:pt>
                <c:pt idx="4">
                  <c:v>0.28465700000000016</c:v>
                </c:pt>
                <c:pt idx="5">
                  <c:v>0.3741690000000002</c:v>
                </c:pt>
                <c:pt idx="6">
                  <c:v>0.42222399999999993</c:v>
                </c:pt>
                <c:pt idx="7">
                  <c:v>0.44108099999999961</c:v>
                </c:pt>
              </c:numCache>
            </c:numRef>
          </c:val>
        </c:ser>
        <c:ser>
          <c:idx val="2"/>
          <c:order val="2"/>
          <c:tx>
            <c:strRef>
              <c:f>'G:\[figures.xlsx]figure 17'!$G$59</c:f>
              <c:strCache>
                <c:ptCount val="1"/>
                <c:pt idx="0">
                  <c:v>External borrowing</c:v>
                </c:pt>
              </c:strCache>
            </c:strRef>
          </c:tx>
          <c:spPr>
            <a:ln>
              <a:solidFill>
                <a:schemeClr val="tx1"/>
              </a:solidFill>
            </a:ln>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'G:\[figures.xlsx]figure 17'!$A$5:$A$14</c:f>
              <c:strCache>
                <c:ptCount val="10"/>
                <c:pt idx="0">
                  <c:v>Q1</c:v>
                </c:pt>
                <c:pt idx="1">
                  <c:v>Q2</c:v>
                </c:pt>
                <c:pt idx="2">
                  <c:v>Q3</c:v>
                </c:pt>
                <c:pt idx="3">
                  <c:v>Q4</c:v>
                </c:pt>
                <c:pt idx="4">
                  <c:v>Q5</c:v>
                </c:pt>
                <c:pt idx="5">
                  <c:v>Q6</c:v>
                </c:pt>
                <c:pt idx="6">
                  <c:v>Q7</c:v>
                </c:pt>
                <c:pt idx="7">
                  <c:v>Q8</c:v>
                </c:pt>
                <c:pt idx="8">
                  <c:v>Q9</c:v>
                </c:pt>
                <c:pt idx="9">
                  <c:v>Q10</c:v>
                </c:pt>
              </c:strCache>
            </c:strRef>
          </c:cat>
          <c:val>
            <c:numRef>
              <c:f>'G:\[figures.xlsx]figure 17'!$G$60:$G$67</c:f>
              <c:numCache>
                <c:formatCode>0.0</c:formatCode>
                <c:ptCount val="8"/>
                <c:pt idx="0">
                  <c:v>0.87398600000000037</c:v>
                </c:pt>
                <c:pt idx="1">
                  <c:v>1.0409680000000003</c:v>
                </c:pt>
                <c:pt idx="2">
                  <c:v>1.199001</c:v>
                </c:pt>
                <c:pt idx="3">
                  <c:v>1.5043819999999997</c:v>
                </c:pt>
                <c:pt idx="4">
                  <c:v>1.7505959999999998</c:v>
                </c:pt>
                <c:pt idx="5">
                  <c:v>1.8766160000000003</c:v>
                </c:pt>
                <c:pt idx="6">
                  <c:v>1.9166080000000001</c:v>
                </c:pt>
                <c:pt idx="7">
                  <c:v>1.8990999999999998</c:v>
                </c:pt>
              </c:numCache>
            </c:numRef>
          </c:val>
        </c:ser>
        <c:dLbls>
          <c:showLegendKey val="0"/>
          <c:showVal val="1"/>
          <c:showCatName val="0"/>
          <c:showSerName val="0"/>
          <c:showPercent val="0"/>
          <c:showBubbleSize val="0"/>
        </c:dLbls>
        <c:gapWidth val="95"/>
        <c:overlap val="100"/>
        <c:axId val="128724992"/>
        <c:axId val="128727680"/>
      </c:barChart>
      <c:lineChart>
        <c:grouping val="standard"/>
        <c:varyColors val="0"/>
        <c:ser>
          <c:idx val="3"/>
          <c:order val="3"/>
          <c:tx>
            <c:strRef>
              <c:f>'G:\[figures.xlsx]figure 17'!$C$3</c:f>
              <c:strCache>
                <c:ptCount val="1"/>
                <c:pt idx="0">
                  <c:v>Overall efect</c:v>
                </c:pt>
              </c:strCache>
            </c:strRef>
          </c:tx>
          <c:spPr>
            <a:ln>
              <a:solidFill>
                <a:schemeClr val="tx1">
                  <a:lumMod val="95000"/>
                  <a:lumOff val="5000"/>
                </a:schemeClr>
              </a:solidFill>
            </a:ln>
          </c:spPr>
          <c:marker>
            <c:symbol val="none"/>
          </c:marker>
          <c:dLbls>
            <c:dLbl>
              <c:idx val="3"/>
              <c:layout>
                <c:manualLayout>
                  <c:x val="-3.9880102199827258E-3"/>
                  <c:y val="-3.34501160877060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2300077391804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4.46001547836080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78750967397550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'G:\[figures.xlsx]figure 17'!$C$5:$C$12</c:f>
              <c:numCache>
                <c:formatCode>0.0</c:formatCode>
                <c:ptCount val="8"/>
                <c:pt idx="0">
                  <c:v>3.4840460000000002</c:v>
                </c:pt>
                <c:pt idx="1">
                  <c:v>4.0648210000000002</c:v>
                </c:pt>
                <c:pt idx="2">
                  <c:v>5.770384</c:v>
                </c:pt>
                <c:pt idx="3">
                  <c:v>6.913754</c:v>
                </c:pt>
                <c:pt idx="4">
                  <c:v>7.2128160000000001</c:v>
                </c:pt>
                <c:pt idx="5">
                  <c:v>7.2344759999999999</c:v>
                </c:pt>
                <c:pt idx="6">
                  <c:v>7.1311999999999998</c:v>
                </c:pt>
                <c:pt idx="7">
                  <c:v>6.9903829999999996</c:v>
                </c:pt>
              </c:numCache>
            </c:numRef>
          </c:val>
          <c:smooth val="0"/>
        </c:ser>
        <c:dLbls>
          <c:showLegendKey val="0"/>
          <c:showVal val="1"/>
          <c:showCatName val="0"/>
          <c:showSerName val="0"/>
          <c:showPercent val="0"/>
          <c:showBubbleSize val="0"/>
        </c:dLbls>
        <c:marker val="1"/>
        <c:smooth val="0"/>
        <c:axId val="128724992"/>
        <c:axId val="128727680"/>
      </c:lineChart>
      <c:catAx>
        <c:axId val="12872499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28727680"/>
        <c:crosses val="autoZero"/>
        <c:auto val="1"/>
        <c:lblAlgn val="ctr"/>
        <c:lblOffset val="100"/>
        <c:noMultiLvlLbl val="0"/>
      </c:catAx>
      <c:valAx>
        <c:axId val="128727680"/>
        <c:scaling>
          <c:orientation val="minMax"/>
        </c:scaling>
        <c:delete val="1"/>
        <c:axPos val="l"/>
        <c:numFmt formatCode="0.0" sourceLinked="1"/>
        <c:majorTickMark val="none"/>
        <c:minorTickMark val="none"/>
        <c:tickLblPos val="none"/>
        <c:crossAx val="128724992"/>
        <c:crosses val="autoZero"/>
        <c:crossBetween val="between"/>
      </c:valAx>
      <c:spPr>
        <a:ln>
          <a:solidFill>
            <a:sysClr val="windowText" lastClr="000000"/>
          </a:solidFill>
        </a:ln>
      </c:spPr>
    </c:plotArea>
    <c:legend>
      <c:legendPos val="t"/>
      <c:layout>
        <c:manualLayout>
          <c:xMode val="edge"/>
          <c:yMode val="edge"/>
          <c:x val="2.0457006976692015E-2"/>
          <c:y val="0.8989688517094393"/>
          <c:w val="0.8747553222513863"/>
          <c:h val="8.380447265178137E-2"/>
        </c:manualLayout>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Times New Roman" pitchFamily="18" charset="0"/>
                <a:cs typeface="Times New Roman" pitchFamily="18" charset="0"/>
              </a:defRPr>
            </a:pPr>
            <a:r>
              <a:rPr lang="en-US" sz="1100" b="1" i="0" baseline="0">
                <a:effectLst/>
              </a:rPr>
              <a:t>Industry</a:t>
            </a:r>
            <a:endParaRPr lang="en-US" sz="1100">
              <a:effectLst/>
            </a:endParaRPr>
          </a:p>
        </c:rich>
      </c:tx>
      <c:layout>
        <c:manualLayout>
          <c:xMode val="edge"/>
          <c:yMode val="edge"/>
          <c:x val="1.4262546950417941E-2"/>
          <c:y val="9.8225492881979709E-2"/>
        </c:manualLayout>
      </c:layout>
      <c:overlay val="0"/>
    </c:title>
    <c:autoTitleDeleted val="0"/>
    <c:plotArea>
      <c:layout>
        <c:manualLayout>
          <c:layoutTarget val="inner"/>
          <c:xMode val="edge"/>
          <c:yMode val="edge"/>
          <c:x val="3.2321489963605824E-3"/>
          <c:y val="5.9991076114478875E-2"/>
          <c:w val="0.9850332189398574"/>
          <c:h val="0.64922764304852998"/>
        </c:manualLayout>
      </c:layout>
      <c:barChart>
        <c:barDir val="col"/>
        <c:grouping val="stacked"/>
        <c:varyColors val="0"/>
        <c:ser>
          <c:idx val="0"/>
          <c:order val="0"/>
          <c:tx>
            <c:strRef>
              <c:f>'G:\[figures.xlsx]figure 18'!$G$15</c:f>
              <c:strCache>
                <c:ptCount val="1"/>
                <c:pt idx="0">
                  <c:v>Remittances</c:v>
                </c:pt>
              </c:strCache>
            </c:strRef>
          </c:tx>
          <c:spPr>
            <a:noFill/>
            <a:ln>
              <a:solidFill>
                <a:schemeClr val="tx1"/>
              </a:solidFill>
            </a:ln>
          </c:spPr>
          <c:invertIfNegative val="0"/>
          <c:dLbls>
            <c:spPr>
              <a:noFill/>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'G:\[figures.xlsx]figure 18'!$A$5:$A$14</c:f>
              <c:strCache>
                <c:ptCount val="10"/>
                <c:pt idx="0">
                  <c:v>Q1</c:v>
                </c:pt>
                <c:pt idx="1">
                  <c:v>Q2</c:v>
                </c:pt>
                <c:pt idx="2">
                  <c:v>Q3</c:v>
                </c:pt>
                <c:pt idx="3">
                  <c:v>Q4</c:v>
                </c:pt>
                <c:pt idx="4">
                  <c:v>Q5</c:v>
                </c:pt>
                <c:pt idx="5">
                  <c:v>Q6</c:v>
                </c:pt>
                <c:pt idx="6">
                  <c:v>Q7</c:v>
                </c:pt>
                <c:pt idx="7">
                  <c:v>Q8</c:v>
                </c:pt>
                <c:pt idx="8">
                  <c:v>Q9</c:v>
                </c:pt>
                <c:pt idx="9">
                  <c:v>Q10</c:v>
                </c:pt>
              </c:strCache>
            </c:strRef>
          </c:cat>
          <c:val>
            <c:numRef>
              <c:f>'G:\[figures.xlsx]figure 18'!$G$16:$G$23</c:f>
              <c:numCache>
                <c:formatCode>0.0</c:formatCode>
                <c:ptCount val="8"/>
                <c:pt idx="0">
                  <c:v>0</c:v>
                </c:pt>
                <c:pt idx="1">
                  <c:v>0.19029999999999997</c:v>
                </c:pt>
                <c:pt idx="2">
                  <c:v>0.18760700000000002</c:v>
                </c:pt>
                <c:pt idx="3">
                  <c:v>0.167715</c:v>
                </c:pt>
                <c:pt idx="4">
                  <c:v>0.13946599999999998</c:v>
                </c:pt>
                <c:pt idx="5">
                  <c:v>0.11214900000000005</c:v>
                </c:pt>
                <c:pt idx="6">
                  <c:v>8.8906000000000041E-2</c:v>
                </c:pt>
                <c:pt idx="7">
                  <c:v>7.0093000000000072E-2</c:v>
                </c:pt>
              </c:numCache>
            </c:numRef>
          </c:val>
        </c:ser>
        <c:ser>
          <c:idx val="1"/>
          <c:order val="1"/>
          <c:tx>
            <c:strRef>
              <c:f>'G:\[figures.xlsx]figure 18'!$G$26</c:f>
              <c:strCache>
                <c:ptCount val="1"/>
                <c:pt idx="0">
                  <c:v>Export</c:v>
                </c:pt>
              </c:strCache>
            </c:strRef>
          </c:tx>
          <c:spPr>
            <a:ln>
              <a:solidFill>
                <a:schemeClr val="tx1"/>
              </a:solidFill>
            </a:ln>
          </c:spPr>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'G:\[figures.xlsx]figure 18'!$A$5:$A$14</c:f>
              <c:strCache>
                <c:ptCount val="10"/>
                <c:pt idx="0">
                  <c:v>Q1</c:v>
                </c:pt>
                <c:pt idx="1">
                  <c:v>Q2</c:v>
                </c:pt>
                <c:pt idx="2">
                  <c:v>Q3</c:v>
                </c:pt>
                <c:pt idx="3">
                  <c:v>Q4</c:v>
                </c:pt>
                <c:pt idx="4">
                  <c:v>Q5</c:v>
                </c:pt>
                <c:pt idx="5">
                  <c:v>Q6</c:v>
                </c:pt>
                <c:pt idx="6">
                  <c:v>Q7</c:v>
                </c:pt>
                <c:pt idx="7">
                  <c:v>Q8</c:v>
                </c:pt>
                <c:pt idx="8">
                  <c:v>Q9</c:v>
                </c:pt>
                <c:pt idx="9">
                  <c:v>Q10</c:v>
                </c:pt>
              </c:strCache>
            </c:strRef>
          </c:cat>
          <c:val>
            <c:numRef>
              <c:f>'G:\[figures.xlsx]figure 18'!$G$27:$G$34</c:f>
              <c:numCache>
                <c:formatCode>0.0</c:formatCode>
                <c:ptCount val="8"/>
                <c:pt idx="0">
                  <c:v>0</c:v>
                </c:pt>
                <c:pt idx="1">
                  <c:v>0.113839</c:v>
                </c:pt>
                <c:pt idx="2">
                  <c:v>4.7455999999999998E-2</c:v>
                </c:pt>
                <c:pt idx="3">
                  <c:v>4.4822999999999946E-2</c:v>
                </c:pt>
                <c:pt idx="4">
                  <c:v>5.9968000000000021E-2</c:v>
                </c:pt>
                <c:pt idx="5">
                  <c:v>6.8760000000000043E-2</c:v>
                </c:pt>
                <c:pt idx="6">
                  <c:v>7.100200000000001E-2</c:v>
                </c:pt>
                <c:pt idx="7">
                  <c:v>7.1323000000000025E-2</c:v>
                </c:pt>
              </c:numCache>
            </c:numRef>
          </c:val>
        </c:ser>
        <c:ser>
          <c:idx val="2"/>
          <c:order val="2"/>
          <c:tx>
            <c:strRef>
              <c:f>'G:\[figures.xlsx]figure 18'!$G$59</c:f>
              <c:strCache>
                <c:ptCount val="1"/>
                <c:pt idx="0">
                  <c:v>External borrowing</c:v>
                </c:pt>
              </c:strCache>
            </c:strRef>
          </c:tx>
          <c:spPr>
            <a:ln>
              <a:solidFill>
                <a:schemeClr val="tx1"/>
              </a:solidFill>
            </a:ln>
          </c:spPr>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'G:\[figures.xlsx]figure 18'!$A$5:$A$14</c:f>
              <c:strCache>
                <c:ptCount val="10"/>
                <c:pt idx="0">
                  <c:v>Q1</c:v>
                </c:pt>
                <c:pt idx="1">
                  <c:v>Q2</c:v>
                </c:pt>
                <c:pt idx="2">
                  <c:v>Q3</c:v>
                </c:pt>
                <c:pt idx="3">
                  <c:v>Q4</c:v>
                </c:pt>
                <c:pt idx="4">
                  <c:v>Q5</c:v>
                </c:pt>
                <c:pt idx="5">
                  <c:v>Q6</c:v>
                </c:pt>
                <c:pt idx="6">
                  <c:v>Q7</c:v>
                </c:pt>
                <c:pt idx="7">
                  <c:v>Q8</c:v>
                </c:pt>
                <c:pt idx="8">
                  <c:v>Q9</c:v>
                </c:pt>
                <c:pt idx="9">
                  <c:v>Q10</c:v>
                </c:pt>
              </c:strCache>
            </c:strRef>
          </c:cat>
          <c:val>
            <c:numRef>
              <c:f>'G:\[figures.xlsx]figure 18'!$G$60:$G$67</c:f>
              <c:numCache>
                <c:formatCode>0.0</c:formatCode>
                <c:ptCount val="8"/>
                <c:pt idx="0">
                  <c:v>1.5573E-2</c:v>
                </c:pt>
                <c:pt idx="1">
                  <c:v>1.5618999999999994E-2</c:v>
                </c:pt>
                <c:pt idx="2">
                  <c:v>6.995800000000002E-2</c:v>
                </c:pt>
                <c:pt idx="3">
                  <c:v>0.10471999999999992</c:v>
                </c:pt>
                <c:pt idx="4">
                  <c:v>0.12552099999999999</c:v>
                </c:pt>
                <c:pt idx="5">
                  <c:v>0.13913399999999998</c:v>
                </c:pt>
                <c:pt idx="6">
                  <c:v>0.14830200000000004</c:v>
                </c:pt>
                <c:pt idx="7">
                  <c:v>0.15429300000000001</c:v>
                </c:pt>
              </c:numCache>
            </c:numRef>
          </c:val>
        </c:ser>
        <c:dLbls>
          <c:showLegendKey val="0"/>
          <c:showVal val="0"/>
          <c:showCatName val="0"/>
          <c:showSerName val="0"/>
          <c:showPercent val="0"/>
          <c:showBubbleSize val="0"/>
        </c:dLbls>
        <c:gapWidth val="150"/>
        <c:overlap val="100"/>
        <c:axId val="128777600"/>
        <c:axId val="134232320"/>
      </c:barChart>
      <c:lineChart>
        <c:grouping val="standard"/>
        <c:varyColors val="0"/>
        <c:ser>
          <c:idx val="3"/>
          <c:order val="3"/>
          <c:tx>
            <c:strRef>
              <c:f>'G:\[figures.xlsx]figure 18'!$C$3</c:f>
              <c:strCache>
                <c:ptCount val="1"/>
                <c:pt idx="0">
                  <c:v>Overall efect</c:v>
                </c:pt>
              </c:strCache>
            </c:strRef>
          </c:tx>
          <c:spPr>
            <a:ln>
              <a:solidFill>
                <a:schemeClr val="tx1">
                  <a:lumMod val="95000"/>
                  <a:lumOff val="5000"/>
                </a:schemeClr>
              </a:solidFill>
            </a:ln>
          </c:spPr>
          <c:marker>
            <c:symbol val="none"/>
          </c:marker>
          <c:dLbls>
            <c:dLbl>
              <c:idx val="2"/>
              <c:layout>
                <c:manualLayout>
                  <c:x val="3.6439834085020351E-17"/>
                  <c:y val="9.47994655400206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36998663850052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36998663850052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876502749687219E-3"/>
                  <c:y val="2.36998663850052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1.89598931080042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'G:\[figures.xlsx]figure 18'!$C$5:$C$12</c:f>
              <c:numCache>
                <c:formatCode>0.0</c:formatCode>
                <c:ptCount val="8"/>
                <c:pt idx="0">
                  <c:v>0</c:v>
                </c:pt>
                <c:pt idx="1">
                  <c:v>0.29866599999999999</c:v>
                </c:pt>
                <c:pt idx="2">
                  <c:v>0.51870300000000003</c:v>
                </c:pt>
                <c:pt idx="3">
                  <c:v>0.64276699999999998</c:v>
                </c:pt>
                <c:pt idx="4">
                  <c:v>0.71374899999999997</c:v>
                </c:pt>
                <c:pt idx="5">
                  <c:v>0.75661800000000001</c:v>
                </c:pt>
                <c:pt idx="6">
                  <c:v>0.78262799999999999</c:v>
                </c:pt>
                <c:pt idx="7">
                  <c:v>0.79822000000000004</c:v>
                </c:pt>
              </c:numCache>
            </c:numRef>
          </c:val>
          <c:smooth val="0"/>
        </c:ser>
        <c:dLbls>
          <c:showLegendKey val="0"/>
          <c:showVal val="1"/>
          <c:showCatName val="0"/>
          <c:showSerName val="0"/>
          <c:showPercent val="0"/>
          <c:showBubbleSize val="0"/>
        </c:dLbls>
        <c:marker val="1"/>
        <c:smooth val="0"/>
        <c:axId val="128777600"/>
        <c:axId val="134232320"/>
      </c:lineChart>
      <c:catAx>
        <c:axId val="12877760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34232320"/>
        <c:crosses val="autoZero"/>
        <c:auto val="1"/>
        <c:lblAlgn val="ctr"/>
        <c:lblOffset val="100"/>
        <c:noMultiLvlLbl val="0"/>
      </c:catAx>
      <c:valAx>
        <c:axId val="134232320"/>
        <c:scaling>
          <c:orientation val="minMax"/>
        </c:scaling>
        <c:delete val="1"/>
        <c:axPos val="l"/>
        <c:numFmt formatCode="0.0" sourceLinked="1"/>
        <c:majorTickMark val="none"/>
        <c:minorTickMark val="none"/>
        <c:tickLblPos val="none"/>
        <c:crossAx val="128777600"/>
        <c:crosses val="autoZero"/>
        <c:crossBetween val="between"/>
      </c:valAx>
      <c:spPr>
        <a:ln>
          <a:solidFill>
            <a:sysClr val="windowText" lastClr="000000"/>
          </a:solidFill>
        </a:ln>
      </c:spPr>
    </c:plotArea>
    <c:legend>
      <c:legendPos val="t"/>
      <c:layout>
        <c:manualLayout>
          <c:xMode val="edge"/>
          <c:yMode val="edge"/>
          <c:x val="7.4278031790134202E-2"/>
          <c:y val="0.79999105036231544"/>
          <c:w val="0.85646606994638397"/>
          <c:h val="7.1098944946041118E-2"/>
        </c:manualLayout>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Services</a:t>
            </a:r>
          </a:p>
        </c:rich>
      </c:tx>
      <c:layout>
        <c:manualLayout>
          <c:xMode val="edge"/>
          <c:yMode val="edge"/>
          <c:x val="1.7640476242969615E-2"/>
          <c:y val="5.7908338367050741E-2"/>
        </c:manualLayout>
      </c:layout>
      <c:overlay val="0"/>
    </c:title>
    <c:autoTitleDeleted val="0"/>
    <c:plotArea>
      <c:layout>
        <c:manualLayout>
          <c:layoutTarget val="inner"/>
          <c:xMode val="edge"/>
          <c:yMode val="edge"/>
          <c:x val="1.0507177556752774E-2"/>
          <c:y val="2.8342160354955629E-2"/>
          <c:w val="0.98490037463265756"/>
          <c:h val="0.77806687133929642"/>
        </c:manualLayout>
      </c:layout>
      <c:barChart>
        <c:barDir val="col"/>
        <c:grouping val="stacked"/>
        <c:varyColors val="0"/>
        <c:ser>
          <c:idx val="0"/>
          <c:order val="0"/>
          <c:tx>
            <c:strRef>
              <c:f>Figure17.!$G$17</c:f>
              <c:strCache>
                <c:ptCount val="1"/>
                <c:pt idx="0">
                  <c:v>Remittances</c:v>
                </c:pt>
              </c:strCache>
            </c:strRef>
          </c:tx>
          <c:spPr>
            <a:solidFill>
              <a:schemeClr val="bg1"/>
            </a:solidFill>
            <a:ln>
              <a:solidFill>
                <a:schemeClr val="tx1"/>
              </a:solidFill>
            </a:ln>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Figure17.!$A$7:$A$14</c:f>
              <c:strCache>
                <c:ptCount val="8"/>
                <c:pt idx="0">
                  <c:v>Q1</c:v>
                </c:pt>
                <c:pt idx="1">
                  <c:v>Q2</c:v>
                </c:pt>
                <c:pt idx="2">
                  <c:v>Q3</c:v>
                </c:pt>
                <c:pt idx="3">
                  <c:v>Q4</c:v>
                </c:pt>
                <c:pt idx="4">
                  <c:v>Q5</c:v>
                </c:pt>
                <c:pt idx="5">
                  <c:v>Q6</c:v>
                </c:pt>
                <c:pt idx="6">
                  <c:v>Q7</c:v>
                </c:pt>
                <c:pt idx="7">
                  <c:v>Q8</c:v>
                </c:pt>
              </c:strCache>
            </c:strRef>
          </c:cat>
          <c:val>
            <c:numRef>
              <c:f>Figure17.!$G$18:$G$25</c:f>
              <c:numCache>
                <c:formatCode>0.0</c:formatCode>
                <c:ptCount val="8"/>
                <c:pt idx="0">
                  <c:v>0.193436</c:v>
                </c:pt>
                <c:pt idx="1">
                  <c:v>0.36911599999999989</c:v>
                </c:pt>
                <c:pt idx="2">
                  <c:v>0.45396199999999998</c:v>
                </c:pt>
                <c:pt idx="3">
                  <c:v>0.49706199999999989</c:v>
                </c:pt>
                <c:pt idx="4">
                  <c:v>0.51384099999999999</c:v>
                </c:pt>
                <c:pt idx="5">
                  <c:v>0.52590200000000009</c:v>
                </c:pt>
                <c:pt idx="6">
                  <c:v>0.53252600000000005</c:v>
                </c:pt>
                <c:pt idx="7">
                  <c:v>0.53411200000000014</c:v>
                </c:pt>
              </c:numCache>
            </c:numRef>
          </c:val>
        </c:ser>
        <c:ser>
          <c:idx val="1"/>
          <c:order val="1"/>
          <c:tx>
            <c:strRef>
              <c:f>Figure17.!$G$28</c:f>
              <c:strCache>
                <c:ptCount val="1"/>
                <c:pt idx="0">
                  <c:v>Export</c:v>
                </c:pt>
              </c:strCache>
            </c:strRef>
          </c:tx>
          <c:spPr>
            <a:solidFill>
              <a:schemeClr val="bg1">
                <a:lumMod val="85000"/>
              </a:schemeClr>
            </a:solidFill>
            <a:ln>
              <a:solidFill>
                <a:prstClr val="black"/>
              </a:solidFill>
            </a:ln>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Figure17.!$A$7:$A$14</c:f>
              <c:strCache>
                <c:ptCount val="8"/>
                <c:pt idx="0">
                  <c:v>Q1</c:v>
                </c:pt>
                <c:pt idx="1">
                  <c:v>Q2</c:v>
                </c:pt>
                <c:pt idx="2">
                  <c:v>Q3</c:v>
                </c:pt>
                <c:pt idx="3">
                  <c:v>Q4</c:v>
                </c:pt>
                <c:pt idx="4">
                  <c:v>Q5</c:v>
                </c:pt>
                <c:pt idx="5">
                  <c:v>Q6</c:v>
                </c:pt>
                <c:pt idx="6">
                  <c:v>Q7</c:v>
                </c:pt>
                <c:pt idx="7">
                  <c:v>Q8</c:v>
                </c:pt>
              </c:strCache>
            </c:strRef>
          </c:cat>
          <c:val>
            <c:numRef>
              <c:f>Figure17.!$G$29:$G$36</c:f>
              <c:numCache>
                <c:formatCode>0.0</c:formatCode>
                <c:ptCount val="8"/>
                <c:pt idx="0">
                  <c:v>6.033899999999992E-2</c:v>
                </c:pt>
                <c:pt idx="1">
                  <c:v>0.10048499999999994</c:v>
                </c:pt>
                <c:pt idx="2">
                  <c:v>0.13217600000000007</c:v>
                </c:pt>
                <c:pt idx="3">
                  <c:v>0.17263800000000007</c:v>
                </c:pt>
                <c:pt idx="4">
                  <c:v>0.2134339999999999</c:v>
                </c:pt>
                <c:pt idx="5">
                  <c:v>0.24580700000000011</c:v>
                </c:pt>
                <c:pt idx="6">
                  <c:v>0.27002900000000007</c:v>
                </c:pt>
                <c:pt idx="7">
                  <c:v>0.28836800000000018</c:v>
                </c:pt>
              </c:numCache>
            </c:numRef>
          </c:val>
        </c:ser>
        <c:ser>
          <c:idx val="2"/>
          <c:order val="2"/>
          <c:tx>
            <c:strRef>
              <c:f>Figure17.!$G$39</c:f>
              <c:strCache>
                <c:ptCount val="1"/>
                <c:pt idx="0">
                  <c:v>Tourism</c:v>
                </c:pt>
              </c:strCache>
            </c:strRef>
          </c:tx>
          <c:spPr>
            <a:solidFill>
              <a:schemeClr val="bg1">
                <a:lumMod val="65000"/>
              </a:schemeClr>
            </a:solidFill>
            <a:ln>
              <a:solidFill>
                <a:prstClr val="black"/>
              </a:solidFill>
            </a:ln>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Figure17.!$A$7:$A$14</c:f>
              <c:strCache>
                <c:ptCount val="8"/>
                <c:pt idx="0">
                  <c:v>Q1</c:v>
                </c:pt>
                <c:pt idx="1">
                  <c:v>Q2</c:v>
                </c:pt>
                <c:pt idx="2">
                  <c:v>Q3</c:v>
                </c:pt>
                <c:pt idx="3">
                  <c:v>Q4</c:v>
                </c:pt>
                <c:pt idx="4">
                  <c:v>Q5</c:v>
                </c:pt>
                <c:pt idx="5">
                  <c:v>Q6</c:v>
                </c:pt>
                <c:pt idx="6">
                  <c:v>Q7</c:v>
                </c:pt>
                <c:pt idx="7">
                  <c:v>Q8</c:v>
                </c:pt>
              </c:strCache>
            </c:strRef>
          </c:cat>
          <c:val>
            <c:numRef>
              <c:f>Figure17.!$G$40:$G$47</c:f>
              <c:numCache>
                <c:formatCode>0.0</c:formatCode>
                <c:ptCount val="8"/>
                <c:pt idx="0">
                  <c:v>6.0582999999999942E-2</c:v>
                </c:pt>
                <c:pt idx="1">
                  <c:v>0.10678999999999994</c:v>
                </c:pt>
                <c:pt idx="2">
                  <c:v>0.14167200000000002</c:v>
                </c:pt>
                <c:pt idx="3">
                  <c:v>0.16133299999999995</c:v>
                </c:pt>
                <c:pt idx="4">
                  <c:v>0.17488199999999998</c:v>
                </c:pt>
                <c:pt idx="5">
                  <c:v>0.18464700000000001</c:v>
                </c:pt>
                <c:pt idx="6">
                  <c:v>0.19069000000000003</c:v>
                </c:pt>
                <c:pt idx="7">
                  <c:v>0.19423499999999994</c:v>
                </c:pt>
              </c:numCache>
            </c:numRef>
          </c:val>
        </c:ser>
        <c:ser>
          <c:idx val="3"/>
          <c:order val="3"/>
          <c:tx>
            <c:strRef>
              <c:f>Figure17.!$G$61</c:f>
              <c:strCache>
                <c:ptCount val="1"/>
                <c:pt idx="0">
                  <c:v>External borrowing</c:v>
                </c:pt>
              </c:strCache>
            </c:strRef>
          </c:tx>
          <c:spPr>
            <a:blipFill>
              <a:blip xmlns:r="http://schemas.openxmlformats.org/officeDocument/2006/relationships" r:embed="rId1"/>
              <a:tile tx="0" ty="0" sx="100000" sy="100000" flip="none" algn="tl"/>
            </a:blipFill>
            <a:ln>
              <a:solidFill>
                <a:schemeClr val="tx1"/>
              </a:solidFill>
            </a:ln>
          </c:spPr>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Figure17.!$A$7:$A$14</c:f>
              <c:strCache>
                <c:ptCount val="8"/>
                <c:pt idx="0">
                  <c:v>Q1</c:v>
                </c:pt>
                <c:pt idx="1">
                  <c:v>Q2</c:v>
                </c:pt>
                <c:pt idx="2">
                  <c:v>Q3</c:v>
                </c:pt>
                <c:pt idx="3">
                  <c:v>Q4</c:v>
                </c:pt>
                <c:pt idx="4">
                  <c:v>Q5</c:v>
                </c:pt>
                <c:pt idx="5">
                  <c:v>Q6</c:v>
                </c:pt>
                <c:pt idx="6">
                  <c:v>Q7</c:v>
                </c:pt>
                <c:pt idx="7">
                  <c:v>Q8</c:v>
                </c:pt>
              </c:strCache>
            </c:strRef>
          </c:cat>
          <c:val>
            <c:numRef>
              <c:f>Figure17.!$G$62:$G$69</c:f>
              <c:numCache>
                <c:formatCode>0.0</c:formatCode>
                <c:ptCount val="8"/>
                <c:pt idx="0">
                  <c:v>0.15920199999999995</c:v>
                </c:pt>
                <c:pt idx="1">
                  <c:v>0.42308099999999993</c:v>
                </c:pt>
                <c:pt idx="2">
                  <c:v>0.70727699999999993</c:v>
                </c:pt>
                <c:pt idx="3">
                  <c:v>0.929732</c:v>
                </c:pt>
                <c:pt idx="4">
                  <c:v>1.0845689999999999</c:v>
                </c:pt>
                <c:pt idx="5">
                  <c:v>1.193149</c:v>
                </c:pt>
                <c:pt idx="6">
                  <c:v>1.2693210000000001</c:v>
                </c:pt>
                <c:pt idx="7">
                  <c:v>1.3215160000000001</c:v>
                </c:pt>
              </c:numCache>
            </c:numRef>
          </c:val>
        </c:ser>
        <c:dLbls>
          <c:showLegendKey val="0"/>
          <c:showVal val="1"/>
          <c:showCatName val="0"/>
          <c:showSerName val="0"/>
          <c:showPercent val="0"/>
          <c:showBubbleSize val="0"/>
        </c:dLbls>
        <c:gapWidth val="95"/>
        <c:overlap val="100"/>
        <c:axId val="134857088"/>
        <c:axId val="134859776"/>
      </c:barChart>
      <c:lineChart>
        <c:grouping val="standard"/>
        <c:varyColors val="0"/>
        <c:ser>
          <c:idx val="4"/>
          <c:order val="4"/>
          <c:tx>
            <c:strRef>
              <c:f>Figure17.!$C$3</c:f>
              <c:strCache>
                <c:ptCount val="1"/>
                <c:pt idx="0">
                  <c:v>Overall efect</c:v>
                </c:pt>
              </c:strCache>
            </c:strRef>
          </c:tx>
          <c:spPr>
            <a:ln w="38100">
              <a:solidFill>
                <a:schemeClr val="tx1"/>
              </a:solidFill>
            </a:ln>
          </c:spPr>
          <c:marker>
            <c:symbol val="none"/>
          </c:marker>
          <c:dLbls>
            <c:dLbl>
              <c:idx val="0"/>
              <c:layout>
                <c:manualLayout>
                  <c:x val="-6.2083442101568426E-3"/>
                  <c:y val="-9.79987422208676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01807890898006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93944300460882E-17"/>
                  <c:y val="-5.34538593932004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5.34538593932004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694480700522832E-3"/>
                  <c:y val="-5.79083476759672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2777922802091345E-3"/>
                  <c:y val="-5.34538593932004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5635906262133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2083442101568513E-3"/>
                  <c:y val="-4.00903945449003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Figure17.!$C$7:$C$14</c:f>
              <c:numCache>
                <c:formatCode>0.0</c:formatCode>
                <c:ptCount val="8"/>
                <c:pt idx="0">
                  <c:v>0.58495399999999997</c:v>
                </c:pt>
                <c:pt idx="1">
                  <c:v>1.2901959999999999</c:v>
                </c:pt>
                <c:pt idx="2">
                  <c:v>1.711233</c:v>
                </c:pt>
                <c:pt idx="3">
                  <c:v>1.963741</c:v>
                </c:pt>
                <c:pt idx="4">
                  <c:v>2.139567</c:v>
                </c:pt>
                <c:pt idx="5">
                  <c:v>2.2612410000000001</c:v>
                </c:pt>
                <c:pt idx="6">
                  <c:v>2.3423240000000001</c:v>
                </c:pt>
                <c:pt idx="7">
                  <c:v>2.3963000000000001</c:v>
                </c:pt>
              </c:numCache>
            </c:numRef>
          </c:val>
          <c:smooth val="0"/>
        </c:ser>
        <c:dLbls>
          <c:showLegendKey val="0"/>
          <c:showVal val="1"/>
          <c:showCatName val="0"/>
          <c:showSerName val="0"/>
          <c:showPercent val="0"/>
          <c:showBubbleSize val="0"/>
        </c:dLbls>
        <c:marker val="1"/>
        <c:smooth val="0"/>
        <c:axId val="134857088"/>
        <c:axId val="134859776"/>
      </c:lineChart>
      <c:catAx>
        <c:axId val="134857088"/>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en-US"/>
          </a:p>
        </c:txPr>
        <c:crossAx val="134859776"/>
        <c:crosses val="autoZero"/>
        <c:auto val="1"/>
        <c:lblAlgn val="ctr"/>
        <c:lblOffset val="100"/>
        <c:noMultiLvlLbl val="0"/>
      </c:catAx>
      <c:valAx>
        <c:axId val="134859776"/>
        <c:scaling>
          <c:orientation val="minMax"/>
        </c:scaling>
        <c:delete val="1"/>
        <c:axPos val="l"/>
        <c:numFmt formatCode="0.0" sourceLinked="1"/>
        <c:majorTickMark val="none"/>
        <c:minorTickMark val="none"/>
        <c:tickLblPos val="none"/>
        <c:crossAx val="134857088"/>
        <c:crosses val="autoZero"/>
        <c:crossBetween val="between"/>
      </c:valAx>
      <c:spPr>
        <a:ln>
          <a:solidFill>
            <a:sysClr val="windowText" lastClr="000000"/>
          </a:solidFill>
        </a:ln>
      </c:spPr>
    </c:plotArea>
    <c:legend>
      <c:legendPos val="t"/>
      <c:layout>
        <c:manualLayout>
          <c:xMode val="edge"/>
          <c:yMode val="edge"/>
          <c:x val="0"/>
          <c:y val="0.91329040422552066"/>
          <c:w val="0.89999991026762682"/>
          <c:h val="8.3804472651781522E-2"/>
        </c:manualLayout>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28104064586543"/>
          <c:y val="5.400063660002271E-2"/>
          <c:w val="0.60156361665144042"/>
          <c:h val="0.84369814993366921"/>
        </c:manualLayout>
      </c:layout>
      <c:barChart>
        <c:barDir val="col"/>
        <c:grouping val="percentStacked"/>
        <c:varyColors val="0"/>
        <c:ser>
          <c:idx val="0"/>
          <c:order val="0"/>
          <c:tx>
            <c:strRef>
              <c:f>figure4!$B$4</c:f>
              <c:strCache>
                <c:ptCount val="1"/>
                <c:pt idx="0">
                  <c:v>Russia</c:v>
                </c:pt>
              </c:strCache>
            </c:strRef>
          </c:tx>
          <c:invertIfNegative val="0"/>
          <c:cat>
            <c:numRef>
              <c:f>figure4!$C$3:$F$3</c:f>
              <c:numCache>
                <c:formatCode>General</c:formatCode>
                <c:ptCount val="4"/>
                <c:pt idx="0">
                  <c:v>2010</c:v>
                </c:pt>
                <c:pt idx="1">
                  <c:v>2011</c:v>
                </c:pt>
                <c:pt idx="2">
                  <c:v>2012</c:v>
                </c:pt>
                <c:pt idx="3">
                  <c:v>2013</c:v>
                </c:pt>
              </c:numCache>
            </c:numRef>
          </c:cat>
          <c:val>
            <c:numRef>
              <c:f>figure4!$C$4:$F$4</c:f>
              <c:numCache>
                <c:formatCode>0.0</c:formatCode>
                <c:ptCount val="4"/>
                <c:pt idx="0">
                  <c:v>15.417775317463253</c:v>
                </c:pt>
                <c:pt idx="1">
                  <c:v>16.657964816041705</c:v>
                </c:pt>
                <c:pt idx="2">
                  <c:v>20.222370051795107</c:v>
                </c:pt>
                <c:pt idx="3">
                  <c:v>22.595163956734137</c:v>
                </c:pt>
              </c:numCache>
            </c:numRef>
          </c:val>
        </c:ser>
        <c:ser>
          <c:idx val="1"/>
          <c:order val="1"/>
          <c:tx>
            <c:strRef>
              <c:f>figure4!$B$5</c:f>
              <c:strCache>
                <c:ptCount val="1"/>
                <c:pt idx="0">
                  <c:v>EU countries</c:v>
                </c:pt>
              </c:strCache>
            </c:strRef>
          </c:tx>
          <c:invertIfNegative val="0"/>
          <c:cat>
            <c:numRef>
              <c:f>figure4!$C$3:$F$3</c:f>
              <c:numCache>
                <c:formatCode>General</c:formatCode>
                <c:ptCount val="4"/>
                <c:pt idx="0">
                  <c:v>2010</c:v>
                </c:pt>
                <c:pt idx="1">
                  <c:v>2011</c:v>
                </c:pt>
                <c:pt idx="2">
                  <c:v>2012</c:v>
                </c:pt>
                <c:pt idx="3">
                  <c:v>2013</c:v>
                </c:pt>
              </c:numCache>
            </c:numRef>
          </c:cat>
          <c:val>
            <c:numRef>
              <c:f>figure4!$C$5:$F$5</c:f>
              <c:numCache>
                <c:formatCode>0.0</c:formatCode>
                <c:ptCount val="4"/>
                <c:pt idx="0">
                  <c:v>48.135710464286944</c:v>
                </c:pt>
                <c:pt idx="1">
                  <c:v>45.520909973837561</c:v>
                </c:pt>
                <c:pt idx="2">
                  <c:v>37.067448933995436</c:v>
                </c:pt>
                <c:pt idx="3">
                  <c:v>33.414407878963253</c:v>
                </c:pt>
              </c:numCache>
            </c:numRef>
          </c:val>
        </c:ser>
        <c:ser>
          <c:idx val="2"/>
          <c:order val="2"/>
          <c:tx>
            <c:strRef>
              <c:f>figure4!$B$6</c:f>
              <c:strCache>
                <c:ptCount val="1"/>
                <c:pt idx="0">
                  <c:v>Georgia</c:v>
                </c:pt>
              </c:strCache>
            </c:strRef>
          </c:tx>
          <c:invertIfNegative val="0"/>
          <c:cat>
            <c:numRef>
              <c:f>figure4!$C$3:$F$3</c:f>
              <c:numCache>
                <c:formatCode>General</c:formatCode>
                <c:ptCount val="4"/>
                <c:pt idx="0">
                  <c:v>2010</c:v>
                </c:pt>
                <c:pt idx="1">
                  <c:v>2011</c:v>
                </c:pt>
                <c:pt idx="2">
                  <c:v>2012</c:v>
                </c:pt>
                <c:pt idx="3">
                  <c:v>2013</c:v>
                </c:pt>
              </c:numCache>
            </c:numRef>
          </c:cat>
          <c:val>
            <c:numRef>
              <c:f>figure4!$C$6:$F$6</c:f>
              <c:numCache>
                <c:formatCode>0.0</c:formatCode>
                <c:ptCount val="4"/>
                <c:pt idx="0">
                  <c:v>4.7101360036318534</c:v>
                </c:pt>
                <c:pt idx="1">
                  <c:v>4.6353963709887651</c:v>
                </c:pt>
                <c:pt idx="2">
                  <c:v>5.1337920304543054</c:v>
                </c:pt>
                <c:pt idx="3">
                  <c:v>5.7595313704114668</c:v>
                </c:pt>
              </c:numCache>
            </c:numRef>
          </c:val>
        </c:ser>
        <c:ser>
          <c:idx val="3"/>
          <c:order val="3"/>
          <c:tx>
            <c:strRef>
              <c:f>figure4!$B$7</c:f>
              <c:strCache>
                <c:ptCount val="1"/>
                <c:pt idx="0">
                  <c:v>Switzerland</c:v>
                </c:pt>
              </c:strCache>
            </c:strRef>
          </c:tx>
          <c:invertIfNegative val="0"/>
          <c:cat>
            <c:numRef>
              <c:f>figure4!$C$3:$F$3</c:f>
              <c:numCache>
                <c:formatCode>General</c:formatCode>
                <c:ptCount val="4"/>
                <c:pt idx="0">
                  <c:v>2010</c:v>
                </c:pt>
                <c:pt idx="1">
                  <c:v>2011</c:v>
                </c:pt>
                <c:pt idx="2">
                  <c:v>2012</c:v>
                </c:pt>
                <c:pt idx="3">
                  <c:v>2013</c:v>
                </c:pt>
              </c:numCache>
            </c:numRef>
          </c:cat>
          <c:val>
            <c:numRef>
              <c:f>figure4!$C$7:$F$7</c:f>
              <c:numCache>
                <c:formatCode>0.0</c:formatCode>
                <c:ptCount val="4"/>
                <c:pt idx="0">
                  <c:v>1.6222707830803933</c:v>
                </c:pt>
                <c:pt idx="1">
                  <c:v>2.5241348331514661</c:v>
                </c:pt>
                <c:pt idx="2">
                  <c:v>5.1756528858086828</c:v>
                </c:pt>
                <c:pt idx="3">
                  <c:v>1.6603791571082942</c:v>
                </c:pt>
              </c:numCache>
            </c:numRef>
          </c:val>
        </c:ser>
        <c:ser>
          <c:idx val="4"/>
          <c:order val="4"/>
          <c:tx>
            <c:strRef>
              <c:f>figure4!$B$8</c:f>
              <c:strCache>
                <c:ptCount val="1"/>
                <c:pt idx="0">
                  <c:v>Iran</c:v>
                </c:pt>
              </c:strCache>
            </c:strRef>
          </c:tx>
          <c:invertIfNegative val="1"/>
          <c:cat>
            <c:numRef>
              <c:f>figure4!$C$3:$F$3</c:f>
              <c:numCache>
                <c:formatCode>General</c:formatCode>
                <c:ptCount val="4"/>
                <c:pt idx="0">
                  <c:v>2010</c:v>
                </c:pt>
                <c:pt idx="1">
                  <c:v>2011</c:v>
                </c:pt>
                <c:pt idx="2">
                  <c:v>2012</c:v>
                </c:pt>
                <c:pt idx="3">
                  <c:v>2013</c:v>
                </c:pt>
              </c:numCache>
            </c:numRef>
          </c:cat>
          <c:val>
            <c:numRef>
              <c:f>figure4!$C$8:$F$8</c:f>
              <c:numCache>
                <c:formatCode>0.0</c:formatCode>
                <c:ptCount val="4"/>
                <c:pt idx="0">
                  <c:v>8.1485675949768872</c:v>
                </c:pt>
                <c:pt idx="1">
                  <c:v>7.9627716254712597</c:v>
                </c:pt>
                <c:pt idx="2">
                  <c:v>7.8620625886679933</c:v>
                </c:pt>
                <c:pt idx="3">
                  <c:v>6.4213201938455935</c:v>
                </c:pt>
              </c:numCache>
            </c:numRef>
          </c:val>
        </c:ser>
        <c:ser>
          <c:idx val="5"/>
          <c:order val="5"/>
          <c:tx>
            <c:strRef>
              <c:f>figure4!$B$9</c:f>
              <c:strCache>
                <c:ptCount val="1"/>
                <c:pt idx="0">
                  <c:v>USA</c:v>
                </c:pt>
              </c:strCache>
            </c:strRef>
          </c:tx>
          <c:invertIfNegative val="0"/>
          <c:cat>
            <c:numRef>
              <c:f>figure4!$C$3:$F$3</c:f>
              <c:numCache>
                <c:formatCode>General</c:formatCode>
                <c:ptCount val="4"/>
                <c:pt idx="0">
                  <c:v>2010</c:v>
                </c:pt>
                <c:pt idx="1">
                  <c:v>2011</c:v>
                </c:pt>
                <c:pt idx="2">
                  <c:v>2012</c:v>
                </c:pt>
                <c:pt idx="3">
                  <c:v>2013</c:v>
                </c:pt>
              </c:numCache>
            </c:numRef>
          </c:cat>
          <c:val>
            <c:numRef>
              <c:f>figure4!$C$9:$F$9</c:f>
              <c:numCache>
                <c:formatCode>0.0</c:formatCode>
                <c:ptCount val="4"/>
                <c:pt idx="0">
                  <c:v>7.9448733318041658</c:v>
                </c:pt>
                <c:pt idx="1">
                  <c:v>7.5488764427986963</c:v>
                </c:pt>
                <c:pt idx="2">
                  <c:v>6.3373392733485137</c:v>
                </c:pt>
                <c:pt idx="3">
                  <c:v>6.0206125254870377</c:v>
                </c:pt>
              </c:numCache>
            </c:numRef>
          </c:val>
        </c:ser>
        <c:ser>
          <c:idx val="6"/>
          <c:order val="6"/>
          <c:tx>
            <c:strRef>
              <c:f>figure4!$B$10</c:f>
              <c:strCache>
                <c:ptCount val="1"/>
                <c:pt idx="0">
                  <c:v>China</c:v>
                </c:pt>
              </c:strCache>
            </c:strRef>
          </c:tx>
          <c:invertIfNegative val="0"/>
          <c:cat>
            <c:numRef>
              <c:f>figure4!$C$3:$F$3</c:f>
              <c:numCache>
                <c:formatCode>General</c:formatCode>
                <c:ptCount val="4"/>
                <c:pt idx="0">
                  <c:v>2010</c:v>
                </c:pt>
                <c:pt idx="1">
                  <c:v>2011</c:v>
                </c:pt>
                <c:pt idx="2">
                  <c:v>2012</c:v>
                </c:pt>
                <c:pt idx="3">
                  <c:v>2013</c:v>
                </c:pt>
              </c:numCache>
            </c:numRef>
          </c:cat>
          <c:val>
            <c:numRef>
              <c:f>figure4!$C$10:$F$10</c:f>
              <c:numCache>
                <c:formatCode>0.0</c:formatCode>
                <c:ptCount val="4"/>
                <c:pt idx="0">
                  <c:v>2.9649867960620484</c:v>
                </c:pt>
                <c:pt idx="1">
                  <c:v>1.2187619645072958</c:v>
                </c:pt>
                <c:pt idx="2">
                  <c:v>2.2657223022525752</c:v>
                </c:pt>
                <c:pt idx="3">
                  <c:v>4.6551630586139803</c:v>
                </c:pt>
              </c:numCache>
            </c:numRef>
          </c:val>
        </c:ser>
        <c:ser>
          <c:idx val="7"/>
          <c:order val="7"/>
          <c:tx>
            <c:strRef>
              <c:f>figure4!$B$11</c:f>
              <c:strCache>
                <c:ptCount val="1"/>
                <c:pt idx="0">
                  <c:v>Canada</c:v>
                </c:pt>
              </c:strCache>
            </c:strRef>
          </c:tx>
          <c:invertIfNegative val="0"/>
          <c:cat>
            <c:numRef>
              <c:f>figure4!$C$3:$F$3</c:f>
              <c:numCache>
                <c:formatCode>General</c:formatCode>
                <c:ptCount val="4"/>
                <c:pt idx="0">
                  <c:v>2010</c:v>
                </c:pt>
                <c:pt idx="1">
                  <c:v>2011</c:v>
                </c:pt>
                <c:pt idx="2">
                  <c:v>2012</c:v>
                </c:pt>
                <c:pt idx="3">
                  <c:v>2013</c:v>
                </c:pt>
              </c:numCache>
            </c:numRef>
          </c:cat>
          <c:val>
            <c:numRef>
              <c:f>figure4!$C$11:$F$11</c:f>
              <c:numCache>
                <c:formatCode>0.0</c:formatCode>
                <c:ptCount val="4"/>
                <c:pt idx="0">
                  <c:v>2.8394011624662951</c:v>
                </c:pt>
                <c:pt idx="1">
                  <c:v>5.2783260890725634</c:v>
                </c:pt>
                <c:pt idx="2">
                  <c:v>6.1639407846099781</c:v>
                </c:pt>
                <c:pt idx="3">
                  <c:v>5.9096518962018125</c:v>
                </c:pt>
              </c:numCache>
            </c:numRef>
          </c:val>
        </c:ser>
        <c:ser>
          <c:idx val="8"/>
          <c:order val="8"/>
          <c:tx>
            <c:strRef>
              <c:f>figure4!$B$12</c:f>
              <c:strCache>
                <c:ptCount val="1"/>
                <c:pt idx="0">
                  <c:v>Other countries</c:v>
                </c:pt>
              </c:strCache>
            </c:strRef>
          </c:tx>
          <c:invertIfNegative val="0"/>
          <c:cat>
            <c:numRef>
              <c:f>figure4!$C$3:$F$3</c:f>
              <c:numCache>
                <c:formatCode>General</c:formatCode>
                <c:ptCount val="4"/>
                <c:pt idx="0">
                  <c:v>2010</c:v>
                </c:pt>
                <c:pt idx="1">
                  <c:v>2011</c:v>
                </c:pt>
                <c:pt idx="2">
                  <c:v>2012</c:v>
                </c:pt>
                <c:pt idx="3">
                  <c:v>2013</c:v>
                </c:pt>
              </c:numCache>
            </c:numRef>
          </c:cat>
          <c:val>
            <c:numRef>
              <c:f>figure4!$C$12:$F$12</c:f>
              <c:numCache>
                <c:formatCode>0.0</c:formatCode>
                <c:ptCount val="4"/>
                <c:pt idx="0">
                  <c:v>8.216278546228164</c:v>
                </c:pt>
                <c:pt idx="1">
                  <c:v>8.6528578841306967</c:v>
                </c:pt>
                <c:pt idx="2">
                  <c:v>9.7716711490674086</c:v>
                </c:pt>
                <c:pt idx="3">
                  <c:v>13.563769962634421</c:v>
                </c:pt>
              </c:numCache>
            </c:numRef>
          </c:val>
        </c:ser>
        <c:dLbls>
          <c:showLegendKey val="0"/>
          <c:showVal val="0"/>
          <c:showCatName val="0"/>
          <c:showSerName val="0"/>
          <c:showPercent val="0"/>
          <c:showBubbleSize val="0"/>
        </c:dLbls>
        <c:gapWidth val="55"/>
        <c:overlap val="100"/>
        <c:axId val="123457920"/>
        <c:axId val="123459456"/>
      </c:barChart>
      <c:catAx>
        <c:axId val="123457920"/>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en-US"/>
          </a:p>
        </c:txPr>
        <c:crossAx val="123459456"/>
        <c:crosses val="autoZero"/>
        <c:auto val="1"/>
        <c:lblAlgn val="ctr"/>
        <c:lblOffset val="100"/>
        <c:noMultiLvlLbl val="0"/>
      </c:catAx>
      <c:valAx>
        <c:axId val="123459456"/>
        <c:scaling>
          <c:orientation val="minMax"/>
        </c:scaling>
        <c:delete val="0"/>
        <c:axPos val="l"/>
        <c:numFmt formatCode="0%" sourceLinked="1"/>
        <c:majorTickMark val="none"/>
        <c:minorTickMark val="none"/>
        <c:tickLblPos val="nextTo"/>
        <c:txPr>
          <a:bodyPr/>
          <a:lstStyle/>
          <a:p>
            <a:pPr>
              <a:defRPr sz="800">
                <a:latin typeface="Times New Roman" pitchFamily="18" charset="0"/>
                <a:cs typeface="Times New Roman" pitchFamily="18" charset="0"/>
              </a:defRPr>
            </a:pPr>
            <a:endParaRPr lang="en-US"/>
          </a:p>
        </c:txPr>
        <c:crossAx val="123457920"/>
        <c:crosses val="autoZero"/>
        <c:crossBetween val="between"/>
      </c:valAx>
      <c:spPr>
        <a:ln>
          <a:solidFill>
            <a:schemeClr val="tx1"/>
          </a:solidFill>
        </a:ln>
      </c:spPr>
    </c:plotArea>
    <c:legend>
      <c:legendPos val="r"/>
      <c:layout>
        <c:manualLayout>
          <c:xMode val="edge"/>
          <c:yMode val="edge"/>
          <c:x val="0.71190170536242992"/>
          <c:y val="2.608247329238976E-2"/>
          <c:w val="0.27311088330511735"/>
          <c:h val="0.97279681209476054"/>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280019047010617"/>
          <c:y val="4.7398443902155536E-2"/>
          <c:w val="0.57545682035448387"/>
          <c:h val="0.84998851403606113"/>
        </c:manualLayout>
      </c:layout>
      <c:barChart>
        <c:barDir val="col"/>
        <c:grouping val="percentStacked"/>
        <c:varyColors val="0"/>
        <c:ser>
          <c:idx val="0"/>
          <c:order val="0"/>
          <c:tx>
            <c:strRef>
              <c:f>figure4!$H$4</c:f>
              <c:strCache>
                <c:ptCount val="1"/>
                <c:pt idx="0">
                  <c:v> Russia</c:v>
                </c:pt>
              </c:strCache>
            </c:strRef>
          </c:tx>
          <c:invertIfNegative val="0"/>
          <c:cat>
            <c:numRef>
              <c:f>figure4!$I$3:$L$3</c:f>
              <c:numCache>
                <c:formatCode>General</c:formatCode>
                <c:ptCount val="4"/>
                <c:pt idx="0">
                  <c:v>2010</c:v>
                </c:pt>
                <c:pt idx="1">
                  <c:v>2011</c:v>
                </c:pt>
                <c:pt idx="2">
                  <c:v>2012</c:v>
                </c:pt>
                <c:pt idx="3">
                  <c:v>2013</c:v>
                </c:pt>
              </c:numCache>
            </c:numRef>
          </c:cat>
          <c:val>
            <c:numRef>
              <c:f>figure4!$I$4:$L$4</c:f>
              <c:numCache>
                <c:formatCode>0.0</c:formatCode>
                <c:ptCount val="4"/>
                <c:pt idx="0">
                  <c:v>16.089401427629493</c:v>
                </c:pt>
                <c:pt idx="1">
                  <c:v>16.551295965345009</c:v>
                </c:pt>
                <c:pt idx="2">
                  <c:v>18.303220292908168</c:v>
                </c:pt>
                <c:pt idx="3">
                  <c:v>20.265990826185437</c:v>
                </c:pt>
              </c:numCache>
            </c:numRef>
          </c:val>
        </c:ser>
        <c:ser>
          <c:idx val="1"/>
          <c:order val="1"/>
          <c:tx>
            <c:strRef>
              <c:f>figure4!$H$5</c:f>
              <c:strCache>
                <c:ptCount val="1"/>
                <c:pt idx="0">
                  <c:v> Ukraine</c:v>
                </c:pt>
              </c:strCache>
            </c:strRef>
          </c:tx>
          <c:invertIfNegative val="0"/>
          <c:cat>
            <c:numRef>
              <c:f>figure4!$I$3:$L$3</c:f>
              <c:numCache>
                <c:formatCode>General</c:formatCode>
                <c:ptCount val="4"/>
                <c:pt idx="0">
                  <c:v>2010</c:v>
                </c:pt>
                <c:pt idx="1">
                  <c:v>2011</c:v>
                </c:pt>
                <c:pt idx="2">
                  <c:v>2012</c:v>
                </c:pt>
                <c:pt idx="3">
                  <c:v>2013</c:v>
                </c:pt>
              </c:numCache>
            </c:numRef>
          </c:cat>
          <c:val>
            <c:numRef>
              <c:f>figure4!$I$5:$L$5</c:f>
              <c:numCache>
                <c:formatCode>0.0</c:formatCode>
                <c:ptCount val="4"/>
                <c:pt idx="0">
                  <c:v>5.4540201829672679</c:v>
                </c:pt>
                <c:pt idx="1">
                  <c:v>5.3024078975167477</c:v>
                </c:pt>
                <c:pt idx="2">
                  <c:v>4.438646967187232</c:v>
                </c:pt>
                <c:pt idx="3">
                  <c:v>4.8547494678072107</c:v>
                </c:pt>
              </c:numCache>
            </c:numRef>
          </c:val>
        </c:ser>
        <c:ser>
          <c:idx val="2"/>
          <c:order val="2"/>
          <c:tx>
            <c:strRef>
              <c:f>figure4!$H$6</c:f>
              <c:strCache>
                <c:ptCount val="1"/>
                <c:pt idx="0">
                  <c:v>EU countries</c:v>
                </c:pt>
              </c:strCache>
            </c:strRef>
          </c:tx>
          <c:invertIfNegative val="0"/>
          <c:cat>
            <c:numRef>
              <c:f>figure4!$I$3:$L$3</c:f>
              <c:numCache>
                <c:formatCode>General</c:formatCode>
                <c:ptCount val="4"/>
                <c:pt idx="0">
                  <c:v>2010</c:v>
                </c:pt>
                <c:pt idx="1">
                  <c:v>2011</c:v>
                </c:pt>
                <c:pt idx="2">
                  <c:v>2012</c:v>
                </c:pt>
                <c:pt idx="3">
                  <c:v>2013</c:v>
                </c:pt>
              </c:numCache>
            </c:numRef>
          </c:cat>
          <c:val>
            <c:numRef>
              <c:f>figure4!$I$6:$L$6</c:f>
              <c:numCache>
                <c:formatCode>0.0</c:formatCode>
                <c:ptCount val="4"/>
                <c:pt idx="0">
                  <c:v>23.059746337836092</c:v>
                </c:pt>
                <c:pt idx="1">
                  <c:v>24.101038835541392</c:v>
                </c:pt>
                <c:pt idx="2">
                  <c:v>25.191310946562378</c:v>
                </c:pt>
                <c:pt idx="3">
                  <c:v>30.627619378912851</c:v>
                </c:pt>
              </c:numCache>
            </c:numRef>
          </c:val>
        </c:ser>
        <c:ser>
          <c:idx val="3"/>
          <c:order val="3"/>
          <c:tx>
            <c:strRef>
              <c:f>figure4!$H$7</c:f>
              <c:strCache>
                <c:ptCount val="1"/>
                <c:pt idx="0">
                  <c:v>Georgia</c:v>
                </c:pt>
              </c:strCache>
            </c:strRef>
          </c:tx>
          <c:invertIfNegative val="0"/>
          <c:cat>
            <c:numRef>
              <c:f>figure4!$I$3:$L$3</c:f>
              <c:numCache>
                <c:formatCode>General</c:formatCode>
                <c:ptCount val="4"/>
                <c:pt idx="0">
                  <c:v>2010</c:v>
                </c:pt>
                <c:pt idx="1">
                  <c:v>2011</c:v>
                </c:pt>
                <c:pt idx="2">
                  <c:v>2012</c:v>
                </c:pt>
                <c:pt idx="3">
                  <c:v>2013</c:v>
                </c:pt>
              </c:numCache>
            </c:numRef>
          </c:cat>
          <c:val>
            <c:numRef>
              <c:f>figure4!$I$7:$L$7</c:f>
              <c:numCache>
                <c:formatCode>0.0</c:formatCode>
                <c:ptCount val="4"/>
                <c:pt idx="0">
                  <c:v>6.0430276511903118</c:v>
                </c:pt>
                <c:pt idx="1">
                  <c:v>5.9587942327672501</c:v>
                </c:pt>
                <c:pt idx="2">
                  <c:v>7.6253781991803935</c:v>
                </c:pt>
                <c:pt idx="3">
                  <c:v>10.484515573572169</c:v>
                </c:pt>
              </c:numCache>
            </c:numRef>
          </c:val>
        </c:ser>
        <c:ser>
          <c:idx val="4"/>
          <c:order val="4"/>
          <c:tx>
            <c:strRef>
              <c:f>figure4!$H$8</c:f>
              <c:strCache>
                <c:ptCount val="1"/>
                <c:pt idx="0">
                  <c:v>Switzerland</c:v>
                </c:pt>
              </c:strCache>
            </c:strRef>
          </c:tx>
          <c:invertIfNegative val="0"/>
          <c:cat>
            <c:numRef>
              <c:f>figure4!$I$3:$L$3</c:f>
              <c:numCache>
                <c:formatCode>General</c:formatCode>
                <c:ptCount val="4"/>
                <c:pt idx="0">
                  <c:v>2010</c:v>
                </c:pt>
                <c:pt idx="1">
                  <c:v>2011</c:v>
                </c:pt>
                <c:pt idx="2">
                  <c:v>2012</c:v>
                </c:pt>
                <c:pt idx="3">
                  <c:v>2013</c:v>
                </c:pt>
              </c:numCache>
            </c:numRef>
          </c:cat>
          <c:val>
            <c:numRef>
              <c:f>figure4!$I$8:$L$8</c:f>
              <c:numCache>
                <c:formatCode>0.0</c:formatCode>
                <c:ptCount val="4"/>
                <c:pt idx="0">
                  <c:v>3.1169717633769833</c:v>
                </c:pt>
                <c:pt idx="1">
                  <c:v>4.5165888701312866</c:v>
                </c:pt>
                <c:pt idx="2">
                  <c:v>5.1166637636235928</c:v>
                </c:pt>
                <c:pt idx="3">
                  <c:v>5.7855598348630002</c:v>
                </c:pt>
              </c:numCache>
            </c:numRef>
          </c:val>
        </c:ser>
        <c:ser>
          <c:idx val="5"/>
          <c:order val="5"/>
          <c:tx>
            <c:strRef>
              <c:f>figure4!$H$9</c:f>
              <c:strCache>
                <c:ptCount val="1"/>
                <c:pt idx="0">
                  <c:v>Iran</c:v>
                </c:pt>
              </c:strCache>
            </c:strRef>
          </c:tx>
          <c:invertIfNegative val="0"/>
          <c:cat>
            <c:numRef>
              <c:f>figure4!$I$3:$L$3</c:f>
              <c:numCache>
                <c:formatCode>General</c:formatCode>
                <c:ptCount val="4"/>
                <c:pt idx="0">
                  <c:v>2010</c:v>
                </c:pt>
                <c:pt idx="1">
                  <c:v>2011</c:v>
                </c:pt>
                <c:pt idx="2">
                  <c:v>2012</c:v>
                </c:pt>
                <c:pt idx="3">
                  <c:v>2013</c:v>
                </c:pt>
              </c:numCache>
            </c:numRef>
          </c:cat>
          <c:val>
            <c:numRef>
              <c:f>figure4!$I$9:$L$9</c:f>
              <c:numCache>
                <c:formatCode>0.0</c:formatCode>
                <c:ptCount val="4"/>
                <c:pt idx="0">
                  <c:v>5.426345559983659</c:v>
                </c:pt>
                <c:pt idx="1">
                  <c:v>5.5160985250863339</c:v>
                </c:pt>
                <c:pt idx="2">
                  <c:v>5.6950150029709681</c:v>
                </c:pt>
                <c:pt idx="3">
                  <c:v>4.4248715082552899</c:v>
                </c:pt>
              </c:numCache>
            </c:numRef>
          </c:val>
        </c:ser>
        <c:ser>
          <c:idx val="6"/>
          <c:order val="6"/>
          <c:tx>
            <c:strRef>
              <c:f>figure4!$H$10</c:f>
              <c:strCache>
                <c:ptCount val="1"/>
                <c:pt idx="0">
                  <c:v>Turkey</c:v>
                </c:pt>
              </c:strCache>
            </c:strRef>
          </c:tx>
          <c:invertIfNegative val="0"/>
          <c:cat>
            <c:numRef>
              <c:f>figure4!$I$3:$L$3</c:f>
              <c:numCache>
                <c:formatCode>General</c:formatCode>
                <c:ptCount val="4"/>
                <c:pt idx="0">
                  <c:v>2010</c:v>
                </c:pt>
                <c:pt idx="1">
                  <c:v>2011</c:v>
                </c:pt>
                <c:pt idx="2">
                  <c:v>2012</c:v>
                </c:pt>
                <c:pt idx="3">
                  <c:v>2013</c:v>
                </c:pt>
              </c:numCache>
            </c:numRef>
          </c:cat>
          <c:val>
            <c:numRef>
              <c:f>figure4!$I$10:$L$10</c:f>
              <c:numCache>
                <c:formatCode>0.0</c:formatCode>
                <c:ptCount val="4"/>
                <c:pt idx="0">
                  <c:v>5.0048576411914869</c:v>
                </c:pt>
                <c:pt idx="1">
                  <c:v>4.9446540328581285</c:v>
                </c:pt>
                <c:pt idx="2">
                  <c:v>3.2124749955776641</c:v>
                </c:pt>
                <c:pt idx="3">
                  <c:v>1.7588174833547128</c:v>
                </c:pt>
              </c:numCache>
            </c:numRef>
          </c:val>
        </c:ser>
        <c:ser>
          <c:idx val="7"/>
          <c:order val="7"/>
          <c:tx>
            <c:strRef>
              <c:f>figure4!$H$11</c:f>
              <c:strCache>
                <c:ptCount val="1"/>
                <c:pt idx="0">
                  <c:v>UAE</c:v>
                </c:pt>
              </c:strCache>
            </c:strRef>
          </c:tx>
          <c:invertIfNegative val="0"/>
          <c:cat>
            <c:numRef>
              <c:f>figure4!$I$3:$L$3</c:f>
              <c:numCache>
                <c:formatCode>General</c:formatCode>
                <c:ptCount val="4"/>
                <c:pt idx="0">
                  <c:v>2010</c:v>
                </c:pt>
                <c:pt idx="1">
                  <c:v>2011</c:v>
                </c:pt>
                <c:pt idx="2">
                  <c:v>2012</c:v>
                </c:pt>
                <c:pt idx="3">
                  <c:v>2013</c:v>
                </c:pt>
              </c:numCache>
            </c:numRef>
          </c:cat>
          <c:val>
            <c:numRef>
              <c:f>figure4!$I$11:$L$11</c:f>
              <c:numCache>
                <c:formatCode>0.0</c:formatCode>
                <c:ptCount val="4"/>
                <c:pt idx="0">
                  <c:v>9.0935666873357519</c:v>
                </c:pt>
                <c:pt idx="1">
                  <c:v>9.1429107776445733</c:v>
                </c:pt>
                <c:pt idx="2">
                  <c:v>8.2999366754706809</c:v>
                </c:pt>
                <c:pt idx="3">
                  <c:v>6.5985504062470248</c:v>
                </c:pt>
              </c:numCache>
            </c:numRef>
          </c:val>
        </c:ser>
        <c:ser>
          <c:idx val="8"/>
          <c:order val="8"/>
          <c:tx>
            <c:strRef>
              <c:f>figure4!$H$12</c:f>
              <c:strCache>
                <c:ptCount val="1"/>
                <c:pt idx="0">
                  <c:v>USA</c:v>
                </c:pt>
              </c:strCache>
            </c:strRef>
          </c:tx>
          <c:invertIfNegative val="0"/>
          <c:cat>
            <c:numRef>
              <c:f>figure4!$I$3:$L$3</c:f>
              <c:numCache>
                <c:formatCode>General</c:formatCode>
                <c:ptCount val="4"/>
                <c:pt idx="0">
                  <c:v>2010</c:v>
                </c:pt>
                <c:pt idx="1">
                  <c:v>2011</c:v>
                </c:pt>
                <c:pt idx="2">
                  <c:v>2012</c:v>
                </c:pt>
                <c:pt idx="3">
                  <c:v>2013</c:v>
                </c:pt>
              </c:numCache>
            </c:numRef>
          </c:cat>
          <c:val>
            <c:numRef>
              <c:f>figure4!$I$12:$L$12</c:f>
              <c:numCache>
                <c:formatCode>0.0</c:formatCode>
                <c:ptCount val="4"/>
                <c:pt idx="0">
                  <c:v>3.6157351285437156</c:v>
                </c:pt>
                <c:pt idx="1">
                  <c:v>3.7044741394546175</c:v>
                </c:pt>
                <c:pt idx="2">
                  <c:v>3.3503965530540714</c:v>
                </c:pt>
                <c:pt idx="3">
                  <c:v>3.0263847574641267</c:v>
                </c:pt>
              </c:numCache>
            </c:numRef>
          </c:val>
        </c:ser>
        <c:ser>
          <c:idx val="9"/>
          <c:order val="9"/>
          <c:tx>
            <c:strRef>
              <c:f>figure4!$H$13</c:f>
              <c:strCache>
                <c:ptCount val="1"/>
                <c:pt idx="0">
                  <c:v>China</c:v>
                </c:pt>
              </c:strCache>
            </c:strRef>
          </c:tx>
          <c:invertIfNegative val="0"/>
          <c:cat>
            <c:numRef>
              <c:f>figure4!$I$3:$L$3</c:f>
              <c:numCache>
                <c:formatCode>General</c:formatCode>
                <c:ptCount val="4"/>
                <c:pt idx="0">
                  <c:v>2010</c:v>
                </c:pt>
                <c:pt idx="1">
                  <c:v>2011</c:v>
                </c:pt>
                <c:pt idx="2">
                  <c:v>2012</c:v>
                </c:pt>
                <c:pt idx="3">
                  <c:v>2013</c:v>
                </c:pt>
              </c:numCache>
            </c:numRef>
          </c:cat>
          <c:val>
            <c:numRef>
              <c:f>figure4!$I$13:$L$13</c:f>
              <c:numCache>
                <c:formatCode>0.0</c:formatCode>
                <c:ptCount val="4"/>
                <c:pt idx="0">
                  <c:v>5.9588688447195848</c:v>
                </c:pt>
                <c:pt idx="1">
                  <c:v>5.0463688038874643</c:v>
                </c:pt>
                <c:pt idx="2">
                  <c:v>4.884697404485836</c:v>
                </c:pt>
                <c:pt idx="3">
                  <c:v>4.4282465724729381</c:v>
                </c:pt>
              </c:numCache>
            </c:numRef>
          </c:val>
        </c:ser>
        <c:ser>
          <c:idx val="10"/>
          <c:order val="10"/>
          <c:tx>
            <c:strRef>
              <c:f>figure4!$H$14</c:f>
              <c:strCache>
                <c:ptCount val="1"/>
                <c:pt idx="0">
                  <c:v>Other countries</c:v>
                </c:pt>
              </c:strCache>
            </c:strRef>
          </c:tx>
          <c:invertIfNegative val="0"/>
          <c:cat>
            <c:numRef>
              <c:f>figure4!$I$3:$L$3</c:f>
              <c:numCache>
                <c:formatCode>General</c:formatCode>
                <c:ptCount val="4"/>
                <c:pt idx="0">
                  <c:v>2010</c:v>
                </c:pt>
                <c:pt idx="1">
                  <c:v>2011</c:v>
                </c:pt>
                <c:pt idx="2">
                  <c:v>2012</c:v>
                </c:pt>
                <c:pt idx="3">
                  <c:v>2013</c:v>
                </c:pt>
              </c:numCache>
            </c:numRef>
          </c:cat>
          <c:val>
            <c:numRef>
              <c:f>figure4!$I$14:$L$14</c:f>
              <c:numCache>
                <c:formatCode>0.0</c:formatCode>
                <c:ptCount val="4"/>
                <c:pt idx="0">
                  <c:v>17.137458775225653</c:v>
                </c:pt>
                <c:pt idx="1">
                  <c:v>15.215367919767214</c:v>
                </c:pt>
                <c:pt idx="2">
                  <c:v>13.882259198979002</c:v>
                </c:pt>
                <c:pt idx="3">
                  <c:v>7.7446941908652462</c:v>
                </c:pt>
              </c:numCache>
            </c:numRef>
          </c:val>
        </c:ser>
        <c:dLbls>
          <c:showLegendKey val="0"/>
          <c:showVal val="0"/>
          <c:showCatName val="0"/>
          <c:showSerName val="0"/>
          <c:showPercent val="0"/>
          <c:showBubbleSize val="0"/>
        </c:dLbls>
        <c:gapWidth val="55"/>
        <c:overlap val="100"/>
        <c:axId val="123721216"/>
        <c:axId val="123722752"/>
      </c:barChart>
      <c:catAx>
        <c:axId val="123721216"/>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en-US"/>
          </a:p>
        </c:txPr>
        <c:crossAx val="123722752"/>
        <c:crosses val="autoZero"/>
        <c:auto val="1"/>
        <c:lblAlgn val="ctr"/>
        <c:lblOffset val="100"/>
        <c:noMultiLvlLbl val="0"/>
      </c:catAx>
      <c:valAx>
        <c:axId val="123722752"/>
        <c:scaling>
          <c:orientation val="minMax"/>
        </c:scaling>
        <c:delete val="0"/>
        <c:axPos val="l"/>
        <c:numFmt formatCode="0%" sourceLinked="1"/>
        <c:majorTickMark val="none"/>
        <c:minorTickMark val="none"/>
        <c:tickLblPos val="nextTo"/>
        <c:txPr>
          <a:bodyPr/>
          <a:lstStyle/>
          <a:p>
            <a:pPr>
              <a:defRPr sz="800">
                <a:latin typeface="Times New Roman" pitchFamily="18" charset="0"/>
                <a:cs typeface="Times New Roman" pitchFamily="18" charset="0"/>
              </a:defRPr>
            </a:pPr>
            <a:endParaRPr lang="en-US"/>
          </a:p>
        </c:txPr>
        <c:crossAx val="123721216"/>
        <c:crosses val="autoZero"/>
        <c:crossBetween val="between"/>
      </c:valAx>
      <c:spPr>
        <a:ln>
          <a:solidFill>
            <a:sysClr val="windowText" lastClr="000000"/>
          </a:solidFill>
        </a:ln>
      </c:spPr>
    </c:plotArea>
    <c:legend>
      <c:legendPos val="r"/>
      <c:layout>
        <c:manualLayout>
          <c:xMode val="edge"/>
          <c:yMode val="edge"/>
          <c:x val="0.71190170536242992"/>
          <c:y val="2.9637623167975507E-2"/>
          <c:w val="0.27313195883553748"/>
          <c:h val="0.96924272855087124"/>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8875441495738954E-2"/>
          <c:y val="4.1166104236970383E-2"/>
          <c:w val="0.51686622377656022"/>
          <c:h val="0.86551545687748122"/>
        </c:manualLayout>
      </c:layout>
      <c:barChart>
        <c:barDir val="col"/>
        <c:grouping val="percentStacked"/>
        <c:varyColors val="0"/>
        <c:ser>
          <c:idx val="0"/>
          <c:order val="0"/>
          <c:tx>
            <c:strRef>
              <c:f>figure5!$B$4</c:f>
              <c:strCache>
                <c:ptCount val="1"/>
                <c:pt idx="0">
                  <c:v>Livestock and products of animal origin</c:v>
                </c:pt>
              </c:strCache>
            </c:strRef>
          </c:tx>
          <c:invertIfNegative val="0"/>
          <c:cat>
            <c:numRef>
              <c:f>figure5!$C$3:$F$3</c:f>
              <c:numCache>
                <c:formatCode>General</c:formatCode>
                <c:ptCount val="4"/>
                <c:pt idx="0">
                  <c:v>2010</c:v>
                </c:pt>
                <c:pt idx="1">
                  <c:v>2011</c:v>
                </c:pt>
                <c:pt idx="2">
                  <c:v>2012</c:v>
                </c:pt>
                <c:pt idx="3">
                  <c:v>2013</c:v>
                </c:pt>
              </c:numCache>
            </c:numRef>
          </c:cat>
          <c:val>
            <c:numRef>
              <c:f>figure5!$C$4:$F$4</c:f>
              <c:numCache>
                <c:formatCode>0.0</c:formatCode>
                <c:ptCount val="4"/>
                <c:pt idx="0">
                  <c:v>2.2623294649094667</c:v>
                </c:pt>
                <c:pt idx="1">
                  <c:v>2.2511114807923218</c:v>
                </c:pt>
                <c:pt idx="2">
                  <c:v>2.3984368788128498</c:v>
                </c:pt>
                <c:pt idx="3">
                  <c:v>3.6840663156661368</c:v>
                </c:pt>
              </c:numCache>
            </c:numRef>
          </c:val>
        </c:ser>
        <c:ser>
          <c:idx val="1"/>
          <c:order val="1"/>
          <c:tx>
            <c:strRef>
              <c:f>figure5!$B$5</c:f>
              <c:strCache>
                <c:ptCount val="1"/>
                <c:pt idx="0">
                  <c:v>Products of vegetable origin</c:v>
                </c:pt>
              </c:strCache>
            </c:strRef>
          </c:tx>
          <c:invertIfNegative val="0"/>
          <c:cat>
            <c:numRef>
              <c:f>figure5!$C$3:$F$3</c:f>
              <c:numCache>
                <c:formatCode>General</c:formatCode>
                <c:ptCount val="4"/>
                <c:pt idx="0">
                  <c:v>2010</c:v>
                </c:pt>
                <c:pt idx="1">
                  <c:v>2011</c:v>
                </c:pt>
                <c:pt idx="2">
                  <c:v>2012</c:v>
                </c:pt>
                <c:pt idx="3">
                  <c:v>2013</c:v>
                </c:pt>
              </c:numCache>
            </c:numRef>
          </c:cat>
          <c:val>
            <c:numRef>
              <c:f>figure5!$C$5:$F$5</c:f>
              <c:numCache>
                <c:formatCode>0.0</c:formatCode>
                <c:ptCount val="4"/>
                <c:pt idx="0">
                  <c:v>1.5220146980764406</c:v>
                </c:pt>
                <c:pt idx="1">
                  <c:v>1.7391849180426473</c:v>
                </c:pt>
                <c:pt idx="2">
                  <c:v>2.4820166274022006</c:v>
                </c:pt>
                <c:pt idx="3">
                  <c:v>3.3864556815046818</c:v>
                </c:pt>
              </c:numCache>
            </c:numRef>
          </c:val>
        </c:ser>
        <c:ser>
          <c:idx val="2"/>
          <c:order val="2"/>
          <c:tx>
            <c:strRef>
              <c:f>figure5!$B$6</c:f>
              <c:strCache>
                <c:ptCount val="1"/>
                <c:pt idx="0">
                  <c:v>Ready food products</c:v>
                </c:pt>
              </c:strCache>
            </c:strRef>
          </c:tx>
          <c:invertIfNegative val="0"/>
          <c:cat>
            <c:numRef>
              <c:f>figure5!$C$3:$F$3</c:f>
              <c:numCache>
                <c:formatCode>General</c:formatCode>
                <c:ptCount val="4"/>
                <c:pt idx="0">
                  <c:v>2010</c:v>
                </c:pt>
                <c:pt idx="1">
                  <c:v>2011</c:v>
                </c:pt>
                <c:pt idx="2">
                  <c:v>2012</c:v>
                </c:pt>
                <c:pt idx="3">
                  <c:v>2013</c:v>
                </c:pt>
              </c:numCache>
            </c:numRef>
          </c:cat>
          <c:val>
            <c:numRef>
              <c:f>figure5!$C$6:$F$6</c:f>
              <c:numCache>
                <c:formatCode>0.0</c:formatCode>
                <c:ptCount val="4"/>
                <c:pt idx="0">
                  <c:v>12.589672222779697</c:v>
                </c:pt>
                <c:pt idx="1">
                  <c:v>13.776928122533386</c:v>
                </c:pt>
                <c:pt idx="2">
                  <c:v>18.463634287410631</c:v>
                </c:pt>
                <c:pt idx="3">
                  <c:v>20.976447387306742</c:v>
                </c:pt>
              </c:numCache>
            </c:numRef>
          </c:val>
        </c:ser>
        <c:ser>
          <c:idx val="3"/>
          <c:order val="3"/>
          <c:tx>
            <c:strRef>
              <c:f>figure5!$B$7</c:f>
              <c:strCache>
                <c:ptCount val="1"/>
                <c:pt idx="0">
                  <c:v>Minerals</c:v>
                </c:pt>
              </c:strCache>
            </c:strRef>
          </c:tx>
          <c:invertIfNegative val="0"/>
          <c:cat>
            <c:numRef>
              <c:f>figure5!$C$3:$F$3</c:f>
              <c:numCache>
                <c:formatCode>General</c:formatCode>
                <c:ptCount val="4"/>
                <c:pt idx="0">
                  <c:v>2010</c:v>
                </c:pt>
                <c:pt idx="1">
                  <c:v>2011</c:v>
                </c:pt>
                <c:pt idx="2">
                  <c:v>2012</c:v>
                </c:pt>
                <c:pt idx="3">
                  <c:v>2013</c:v>
                </c:pt>
              </c:numCache>
            </c:numRef>
          </c:cat>
          <c:val>
            <c:numRef>
              <c:f>figure5!$C$7:$F$7</c:f>
              <c:numCache>
                <c:formatCode>0.0</c:formatCode>
                <c:ptCount val="4"/>
                <c:pt idx="0">
                  <c:v>29.465518079138892</c:v>
                </c:pt>
                <c:pt idx="1">
                  <c:v>30.286630236819729</c:v>
                </c:pt>
                <c:pt idx="2">
                  <c:v>29.213088840878193</c:v>
                </c:pt>
                <c:pt idx="3">
                  <c:v>27.543830436749506</c:v>
                </c:pt>
              </c:numCache>
            </c:numRef>
          </c:val>
        </c:ser>
        <c:ser>
          <c:idx val="4"/>
          <c:order val="4"/>
          <c:tx>
            <c:strRef>
              <c:f>figure5!$B$8</c:f>
              <c:strCache>
                <c:ptCount val="1"/>
                <c:pt idx="0">
                  <c:v>Precious, semi-precious stones and metals</c:v>
                </c:pt>
              </c:strCache>
            </c:strRef>
          </c:tx>
          <c:invertIfNegative val="0"/>
          <c:cat>
            <c:numRef>
              <c:f>figure5!$C$3:$F$3</c:f>
              <c:numCache>
                <c:formatCode>General</c:formatCode>
                <c:ptCount val="4"/>
                <c:pt idx="0">
                  <c:v>2010</c:v>
                </c:pt>
                <c:pt idx="1">
                  <c:v>2011</c:v>
                </c:pt>
                <c:pt idx="2">
                  <c:v>2012</c:v>
                </c:pt>
                <c:pt idx="3">
                  <c:v>2013</c:v>
                </c:pt>
              </c:numCache>
            </c:numRef>
          </c:cat>
          <c:val>
            <c:numRef>
              <c:f>figure5!$C$8:$F$8</c:f>
              <c:numCache>
                <c:formatCode>0.0</c:formatCode>
                <c:ptCount val="4"/>
                <c:pt idx="0">
                  <c:v>12.876282566509939</c:v>
                </c:pt>
                <c:pt idx="1">
                  <c:v>14.722003432219644</c:v>
                </c:pt>
                <c:pt idx="2">
                  <c:v>12.534810714879768</c:v>
                </c:pt>
                <c:pt idx="3">
                  <c:v>12.718206102106395</c:v>
                </c:pt>
              </c:numCache>
            </c:numRef>
          </c:val>
        </c:ser>
        <c:ser>
          <c:idx val="5"/>
          <c:order val="5"/>
          <c:tx>
            <c:strRef>
              <c:f>figure5!$B$9</c:f>
              <c:strCache>
                <c:ptCount val="1"/>
                <c:pt idx="0">
                  <c:v>Non-precious metals</c:v>
                </c:pt>
              </c:strCache>
            </c:strRef>
          </c:tx>
          <c:invertIfNegative val="0"/>
          <c:cat>
            <c:numRef>
              <c:f>figure5!$C$3:$F$3</c:f>
              <c:numCache>
                <c:formatCode>General</c:formatCode>
                <c:ptCount val="4"/>
                <c:pt idx="0">
                  <c:v>2010</c:v>
                </c:pt>
                <c:pt idx="1">
                  <c:v>2011</c:v>
                </c:pt>
                <c:pt idx="2">
                  <c:v>2012</c:v>
                </c:pt>
                <c:pt idx="3">
                  <c:v>2013</c:v>
                </c:pt>
              </c:numCache>
            </c:numRef>
          </c:cat>
          <c:val>
            <c:numRef>
              <c:f>figure5!$C$9:$F$9</c:f>
              <c:numCache>
                <c:formatCode>0.0</c:formatCode>
                <c:ptCount val="4"/>
                <c:pt idx="0">
                  <c:v>31.931878614845964</c:v>
                </c:pt>
                <c:pt idx="1">
                  <c:v>27.334022279774022</c:v>
                </c:pt>
                <c:pt idx="2">
                  <c:v>24.782561411649613</c:v>
                </c:pt>
                <c:pt idx="3">
                  <c:v>20.887545593876556</c:v>
                </c:pt>
              </c:numCache>
            </c:numRef>
          </c:val>
        </c:ser>
        <c:ser>
          <c:idx val="6"/>
          <c:order val="6"/>
          <c:tx>
            <c:strRef>
              <c:f>figure5!$B$10</c:f>
              <c:strCache>
                <c:ptCount val="1"/>
                <c:pt idx="0">
                  <c:v>Other</c:v>
                </c:pt>
              </c:strCache>
            </c:strRef>
          </c:tx>
          <c:invertIfNegative val="0"/>
          <c:cat>
            <c:numRef>
              <c:f>figure5!$C$3:$F$3</c:f>
              <c:numCache>
                <c:formatCode>General</c:formatCode>
                <c:ptCount val="4"/>
                <c:pt idx="0">
                  <c:v>2010</c:v>
                </c:pt>
                <c:pt idx="1">
                  <c:v>2011</c:v>
                </c:pt>
                <c:pt idx="2">
                  <c:v>2012</c:v>
                </c:pt>
                <c:pt idx="3">
                  <c:v>2013</c:v>
                </c:pt>
              </c:numCache>
            </c:numRef>
          </c:cat>
          <c:val>
            <c:numRef>
              <c:f>figure5!$C$10:$F$10</c:f>
              <c:numCache>
                <c:formatCode>0.0</c:formatCode>
                <c:ptCount val="4"/>
                <c:pt idx="0">
                  <c:v>9.3523043537395907</c:v>
                </c:pt>
                <c:pt idx="1">
                  <c:v>9.8901195298182394</c:v>
                </c:pt>
                <c:pt idx="2">
                  <c:v>10.12545123896675</c:v>
                </c:pt>
                <c:pt idx="3">
                  <c:v>10.803448482789985</c:v>
                </c:pt>
              </c:numCache>
            </c:numRef>
          </c:val>
        </c:ser>
        <c:dLbls>
          <c:showLegendKey val="0"/>
          <c:showVal val="0"/>
          <c:showCatName val="0"/>
          <c:showSerName val="0"/>
          <c:showPercent val="0"/>
          <c:showBubbleSize val="0"/>
        </c:dLbls>
        <c:gapWidth val="150"/>
        <c:overlap val="100"/>
        <c:axId val="123776384"/>
        <c:axId val="123782272"/>
      </c:barChart>
      <c:catAx>
        <c:axId val="123776384"/>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123782272"/>
        <c:crosses val="autoZero"/>
        <c:auto val="1"/>
        <c:lblAlgn val="ctr"/>
        <c:lblOffset val="100"/>
        <c:noMultiLvlLbl val="0"/>
      </c:catAx>
      <c:valAx>
        <c:axId val="123782272"/>
        <c:scaling>
          <c:orientation val="minMax"/>
        </c:scaling>
        <c:delete val="0"/>
        <c:axPos val="l"/>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123776384"/>
        <c:crosses val="autoZero"/>
        <c:crossBetween val="between"/>
      </c:valAx>
      <c:spPr>
        <a:ln>
          <a:solidFill>
            <a:sysClr val="windowText" lastClr="000000"/>
          </a:solidFill>
        </a:ln>
      </c:spPr>
    </c:plotArea>
    <c:legend>
      <c:legendPos val="l"/>
      <c:layout>
        <c:manualLayout>
          <c:xMode val="edge"/>
          <c:yMode val="edge"/>
          <c:x val="0.63604000471942901"/>
          <c:y val="1.5159560999927076E-3"/>
          <c:w val="0.35995209582412702"/>
          <c:h val="0.9983926668444334"/>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8747275234663461E-2"/>
          <c:y val="4.2085125693790651E-2"/>
          <c:w val="0.49681735993596821"/>
          <c:h val="0.86922744948729513"/>
        </c:manualLayout>
      </c:layout>
      <c:barChart>
        <c:barDir val="col"/>
        <c:grouping val="percentStacked"/>
        <c:varyColors val="0"/>
        <c:ser>
          <c:idx val="0"/>
          <c:order val="0"/>
          <c:tx>
            <c:strRef>
              <c:f>figure5!$H$5</c:f>
              <c:strCache>
                <c:ptCount val="1"/>
                <c:pt idx="0">
                  <c:v>Products of vegetable origin</c:v>
                </c:pt>
              </c:strCache>
            </c:strRef>
          </c:tx>
          <c:invertIfNegative val="0"/>
          <c:cat>
            <c:numRef>
              <c:f>figure5!$I$4:$L$4</c:f>
              <c:numCache>
                <c:formatCode>General</c:formatCode>
                <c:ptCount val="4"/>
                <c:pt idx="0">
                  <c:v>2010</c:v>
                </c:pt>
                <c:pt idx="1">
                  <c:v>2011</c:v>
                </c:pt>
                <c:pt idx="2">
                  <c:v>2012</c:v>
                </c:pt>
                <c:pt idx="3">
                  <c:v>2013</c:v>
                </c:pt>
              </c:numCache>
            </c:numRef>
          </c:cat>
          <c:val>
            <c:numRef>
              <c:f>figure5!$I$5:$L$5</c:f>
              <c:numCache>
                <c:formatCode>0.0</c:formatCode>
                <c:ptCount val="4"/>
                <c:pt idx="0">
                  <c:v>5.7101332777769942</c:v>
                </c:pt>
                <c:pt idx="1">
                  <c:v>5.8390348396867662</c:v>
                </c:pt>
                <c:pt idx="2">
                  <c:v>6.0791253697137284</c:v>
                </c:pt>
                <c:pt idx="3">
                  <c:v>5.5832032856700158</c:v>
                </c:pt>
              </c:numCache>
            </c:numRef>
          </c:val>
        </c:ser>
        <c:ser>
          <c:idx val="1"/>
          <c:order val="1"/>
          <c:tx>
            <c:strRef>
              <c:f>figure5!$H$6</c:f>
              <c:strCache>
                <c:ptCount val="1"/>
                <c:pt idx="0">
                  <c:v>Ready food products</c:v>
                </c:pt>
              </c:strCache>
            </c:strRef>
          </c:tx>
          <c:invertIfNegative val="0"/>
          <c:cat>
            <c:numRef>
              <c:f>figure5!$I$4:$L$4</c:f>
              <c:numCache>
                <c:formatCode>General</c:formatCode>
                <c:ptCount val="4"/>
                <c:pt idx="0">
                  <c:v>2010</c:v>
                </c:pt>
                <c:pt idx="1">
                  <c:v>2011</c:v>
                </c:pt>
                <c:pt idx="2">
                  <c:v>2012</c:v>
                </c:pt>
                <c:pt idx="3">
                  <c:v>2013</c:v>
                </c:pt>
              </c:numCache>
            </c:numRef>
          </c:cat>
          <c:val>
            <c:numRef>
              <c:f>figure5!$I$6:$L$6</c:f>
              <c:numCache>
                <c:formatCode>0.0</c:formatCode>
                <c:ptCount val="4"/>
                <c:pt idx="0">
                  <c:v>8.2372413819990964</c:v>
                </c:pt>
                <c:pt idx="1">
                  <c:v>8.3937096958035013</c:v>
                </c:pt>
                <c:pt idx="2">
                  <c:v>8.3494217396110049</c:v>
                </c:pt>
                <c:pt idx="3">
                  <c:v>9.0242044717116201</c:v>
                </c:pt>
              </c:numCache>
            </c:numRef>
          </c:val>
        </c:ser>
        <c:ser>
          <c:idx val="2"/>
          <c:order val="2"/>
          <c:tx>
            <c:strRef>
              <c:f>figure5!$H$7</c:f>
              <c:strCache>
                <c:ptCount val="1"/>
                <c:pt idx="0">
                  <c:v>Minerals</c:v>
                </c:pt>
              </c:strCache>
            </c:strRef>
          </c:tx>
          <c:invertIfNegative val="0"/>
          <c:cat>
            <c:numRef>
              <c:f>figure5!$I$4:$L$4</c:f>
              <c:numCache>
                <c:formatCode>General</c:formatCode>
                <c:ptCount val="4"/>
                <c:pt idx="0">
                  <c:v>2010</c:v>
                </c:pt>
                <c:pt idx="1">
                  <c:v>2011</c:v>
                </c:pt>
                <c:pt idx="2">
                  <c:v>2012</c:v>
                </c:pt>
                <c:pt idx="3">
                  <c:v>2013</c:v>
                </c:pt>
              </c:numCache>
            </c:numRef>
          </c:cat>
          <c:val>
            <c:numRef>
              <c:f>figure5!$I$7:$L$7</c:f>
              <c:numCache>
                <c:formatCode>0.0</c:formatCode>
                <c:ptCount val="4"/>
                <c:pt idx="0">
                  <c:v>17.765535023194907</c:v>
                </c:pt>
                <c:pt idx="1">
                  <c:v>19.818820962428546</c:v>
                </c:pt>
                <c:pt idx="2">
                  <c:v>21.49259671696478</c:v>
                </c:pt>
                <c:pt idx="3">
                  <c:v>19.891126280978607</c:v>
                </c:pt>
              </c:numCache>
            </c:numRef>
          </c:val>
        </c:ser>
        <c:ser>
          <c:idx val="3"/>
          <c:order val="3"/>
          <c:tx>
            <c:strRef>
              <c:f>figure5!$H$8</c:f>
              <c:strCache>
                <c:ptCount val="1"/>
                <c:pt idx="0">
                  <c:v>Chemical products</c:v>
                </c:pt>
              </c:strCache>
            </c:strRef>
          </c:tx>
          <c:invertIfNegative val="0"/>
          <c:cat>
            <c:numRef>
              <c:f>figure5!$I$4:$L$4</c:f>
              <c:numCache>
                <c:formatCode>General</c:formatCode>
                <c:ptCount val="4"/>
                <c:pt idx="0">
                  <c:v>2010</c:v>
                </c:pt>
                <c:pt idx="1">
                  <c:v>2011</c:v>
                </c:pt>
                <c:pt idx="2">
                  <c:v>2012</c:v>
                </c:pt>
                <c:pt idx="3">
                  <c:v>2013</c:v>
                </c:pt>
              </c:numCache>
            </c:numRef>
          </c:cat>
          <c:val>
            <c:numRef>
              <c:f>figure5!$I$8:$L$8</c:f>
              <c:numCache>
                <c:formatCode>0.0</c:formatCode>
                <c:ptCount val="4"/>
                <c:pt idx="0">
                  <c:v>7.2957579814598024</c:v>
                </c:pt>
                <c:pt idx="1">
                  <c:v>7.3053482779338736</c:v>
                </c:pt>
                <c:pt idx="2">
                  <c:v>7.6391050094006738</c:v>
                </c:pt>
                <c:pt idx="3">
                  <c:v>8.1802933034227561</c:v>
                </c:pt>
              </c:numCache>
            </c:numRef>
          </c:val>
        </c:ser>
        <c:ser>
          <c:idx val="4"/>
          <c:order val="4"/>
          <c:tx>
            <c:strRef>
              <c:f>figure5!$H$9</c:f>
              <c:strCache>
                <c:ptCount val="1"/>
                <c:pt idx="0">
                  <c:v>Plastic items</c:v>
                </c:pt>
              </c:strCache>
            </c:strRef>
          </c:tx>
          <c:invertIfNegative val="0"/>
          <c:cat>
            <c:numRef>
              <c:f>figure5!$I$4:$L$4</c:f>
              <c:numCache>
                <c:formatCode>General</c:formatCode>
                <c:ptCount val="4"/>
                <c:pt idx="0">
                  <c:v>2010</c:v>
                </c:pt>
                <c:pt idx="1">
                  <c:v>2011</c:v>
                </c:pt>
                <c:pt idx="2">
                  <c:v>2012</c:v>
                </c:pt>
                <c:pt idx="3">
                  <c:v>2013</c:v>
                </c:pt>
              </c:numCache>
            </c:numRef>
          </c:cat>
          <c:val>
            <c:numRef>
              <c:f>figure5!$I$9:$L$9</c:f>
              <c:numCache>
                <c:formatCode>0.0</c:formatCode>
                <c:ptCount val="4"/>
                <c:pt idx="0">
                  <c:v>3.9513899963108932</c:v>
                </c:pt>
                <c:pt idx="1">
                  <c:v>4.1689779853646787</c:v>
                </c:pt>
                <c:pt idx="2">
                  <c:v>3.9763247094130683</c:v>
                </c:pt>
                <c:pt idx="3">
                  <c:v>4.0363463631534771</c:v>
                </c:pt>
              </c:numCache>
            </c:numRef>
          </c:val>
        </c:ser>
        <c:ser>
          <c:idx val="5"/>
          <c:order val="5"/>
          <c:tx>
            <c:strRef>
              <c:f>figure5!$H$10</c:f>
              <c:strCache>
                <c:ptCount val="1"/>
                <c:pt idx="0">
                  <c:v>Textile products  </c:v>
                </c:pt>
              </c:strCache>
            </c:strRef>
          </c:tx>
          <c:invertIfNegative val="0"/>
          <c:cat>
            <c:numRef>
              <c:f>figure5!$I$4:$L$4</c:f>
              <c:numCache>
                <c:formatCode>General</c:formatCode>
                <c:ptCount val="4"/>
                <c:pt idx="0">
                  <c:v>2010</c:v>
                </c:pt>
                <c:pt idx="1">
                  <c:v>2011</c:v>
                </c:pt>
                <c:pt idx="2">
                  <c:v>2012</c:v>
                </c:pt>
                <c:pt idx="3">
                  <c:v>2013</c:v>
                </c:pt>
              </c:numCache>
            </c:numRef>
          </c:cat>
          <c:val>
            <c:numRef>
              <c:f>figure5!$I$10:$L$10</c:f>
              <c:numCache>
                <c:formatCode>0.0</c:formatCode>
                <c:ptCount val="4"/>
                <c:pt idx="0">
                  <c:v>3.2691392848802923</c:v>
                </c:pt>
                <c:pt idx="1">
                  <c:v>3.8674500248494939</c:v>
                </c:pt>
                <c:pt idx="2">
                  <c:v>3.6055186774911596</c:v>
                </c:pt>
                <c:pt idx="3">
                  <c:v>3.5767775221384892</c:v>
                </c:pt>
              </c:numCache>
            </c:numRef>
          </c:val>
        </c:ser>
        <c:ser>
          <c:idx val="6"/>
          <c:order val="6"/>
          <c:tx>
            <c:strRef>
              <c:f>figure5!$H$11</c:f>
              <c:strCache>
                <c:ptCount val="1"/>
                <c:pt idx="0">
                  <c:v>Precious,semi-precious stones and metals</c:v>
                </c:pt>
              </c:strCache>
            </c:strRef>
          </c:tx>
          <c:invertIfNegative val="0"/>
          <c:cat>
            <c:numRef>
              <c:f>figure5!$I$4:$L$4</c:f>
              <c:numCache>
                <c:formatCode>General</c:formatCode>
                <c:ptCount val="4"/>
                <c:pt idx="0">
                  <c:v>2010</c:v>
                </c:pt>
                <c:pt idx="1">
                  <c:v>2011</c:v>
                </c:pt>
                <c:pt idx="2">
                  <c:v>2012</c:v>
                </c:pt>
                <c:pt idx="3">
                  <c:v>2013</c:v>
                </c:pt>
              </c:numCache>
            </c:numRef>
          </c:cat>
          <c:val>
            <c:numRef>
              <c:f>figure5!$I$11:$L$11</c:f>
              <c:numCache>
                <c:formatCode>0.0</c:formatCode>
                <c:ptCount val="4"/>
                <c:pt idx="0">
                  <c:v>4.2376511880944472</c:v>
                </c:pt>
                <c:pt idx="1">
                  <c:v>5.1834109939085531</c:v>
                </c:pt>
                <c:pt idx="2">
                  <c:v>4.2039630622753776</c:v>
                </c:pt>
                <c:pt idx="3">
                  <c:v>6.7340802701468094</c:v>
                </c:pt>
              </c:numCache>
            </c:numRef>
          </c:val>
        </c:ser>
        <c:ser>
          <c:idx val="7"/>
          <c:order val="7"/>
          <c:tx>
            <c:strRef>
              <c:f>figure5!$H$12</c:f>
              <c:strCache>
                <c:ptCount val="1"/>
                <c:pt idx="0">
                  <c:v>Non-precious metals</c:v>
                </c:pt>
              </c:strCache>
            </c:strRef>
          </c:tx>
          <c:invertIfNegative val="0"/>
          <c:cat>
            <c:numRef>
              <c:f>figure5!$I$4:$L$4</c:f>
              <c:numCache>
                <c:formatCode>General</c:formatCode>
                <c:ptCount val="4"/>
                <c:pt idx="0">
                  <c:v>2010</c:v>
                </c:pt>
                <c:pt idx="1">
                  <c:v>2011</c:v>
                </c:pt>
                <c:pt idx="2">
                  <c:v>2012</c:v>
                </c:pt>
                <c:pt idx="3">
                  <c:v>2013</c:v>
                </c:pt>
              </c:numCache>
            </c:numRef>
          </c:cat>
          <c:val>
            <c:numRef>
              <c:f>figure5!$I$12:$L$12</c:f>
              <c:numCache>
                <c:formatCode>0.0</c:formatCode>
                <c:ptCount val="4"/>
                <c:pt idx="0">
                  <c:v>9.821345261274967</c:v>
                </c:pt>
                <c:pt idx="1">
                  <c:v>7.8684312847369471</c:v>
                </c:pt>
                <c:pt idx="2">
                  <c:v>7.2547253231739761</c:v>
                </c:pt>
                <c:pt idx="3">
                  <c:v>6.7639116657105465</c:v>
                </c:pt>
              </c:numCache>
            </c:numRef>
          </c:val>
        </c:ser>
        <c:ser>
          <c:idx val="8"/>
          <c:order val="8"/>
          <c:tx>
            <c:strRef>
              <c:f>figure5!$H$13</c:f>
              <c:strCache>
                <c:ptCount val="1"/>
                <c:pt idx="0">
                  <c:v>Machines, equipment, devices</c:v>
                </c:pt>
              </c:strCache>
            </c:strRef>
          </c:tx>
          <c:invertIfNegative val="0"/>
          <c:cat>
            <c:numRef>
              <c:f>figure5!$I$4:$L$4</c:f>
              <c:numCache>
                <c:formatCode>General</c:formatCode>
                <c:ptCount val="4"/>
                <c:pt idx="0">
                  <c:v>2010</c:v>
                </c:pt>
                <c:pt idx="1">
                  <c:v>2011</c:v>
                </c:pt>
                <c:pt idx="2">
                  <c:v>2012</c:v>
                </c:pt>
                <c:pt idx="3">
                  <c:v>2013</c:v>
                </c:pt>
              </c:numCache>
            </c:numRef>
          </c:cat>
          <c:val>
            <c:numRef>
              <c:f>figure5!$I$13:$L$13</c:f>
              <c:numCache>
                <c:formatCode>0.0</c:formatCode>
                <c:ptCount val="4"/>
                <c:pt idx="0">
                  <c:v>17.386462117694691</c:v>
                </c:pt>
                <c:pt idx="1">
                  <c:v>13.666555842571515</c:v>
                </c:pt>
                <c:pt idx="2">
                  <c:v>14.126632785165894</c:v>
                </c:pt>
                <c:pt idx="3">
                  <c:v>13.251444223451125</c:v>
                </c:pt>
              </c:numCache>
            </c:numRef>
          </c:val>
        </c:ser>
        <c:ser>
          <c:idx val="9"/>
          <c:order val="9"/>
          <c:tx>
            <c:strRef>
              <c:f>figure5!$H$14</c:f>
              <c:strCache>
                <c:ptCount val="1"/>
                <c:pt idx="0">
                  <c:v> Transport means</c:v>
                </c:pt>
              </c:strCache>
            </c:strRef>
          </c:tx>
          <c:invertIfNegative val="0"/>
          <c:cat>
            <c:numRef>
              <c:f>figure5!$I$4:$L$4</c:f>
              <c:numCache>
                <c:formatCode>General</c:formatCode>
                <c:ptCount val="4"/>
                <c:pt idx="0">
                  <c:v>2010</c:v>
                </c:pt>
                <c:pt idx="1">
                  <c:v>2011</c:v>
                </c:pt>
                <c:pt idx="2">
                  <c:v>2012</c:v>
                </c:pt>
                <c:pt idx="3">
                  <c:v>2013</c:v>
                </c:pt>
              </c:numCache>
            </c:numRef>
          </c:cat>
          <c:val>
            <c:numRef>
              <c:f>figure5!$I$14:$L$14</c:f>
              <c:numCache>
                <c:formatCode>0.0</c:formatCode>
                <c:ptCount val="4"/>
                <c:pt idx="0">
                  <c:v>7.9257467484770858</c:v>
                </c:pt>
                <c:pt idx="1">
                  <c:v>8.931800952778115</c:v>
                </c:pt>
                <c:pt idx="2">
                  <c:v>8.2427391600102169</c:v>
                </c:pt>
                <c:pt idx="3">
                  <c:v>8.0897834221981526</c:v>
                </c:pt>
              </c:numCache>
            </c:numRef>
          </c:val>
        </c:ser>
        <c:ser>
          <c:idx val="10"/>
          <c:order val="10"/>
          <c:tx>
            <c:strRef>
              <c:f>figure5!$H$15</c:f>
              <c:strCache>
                <c:ptCount val="1"/>
                <c:pt idx="0">
                  <c:v>Other</c:v>
                </c:pt>
              </c:strCache>
            </c:strRef>
          </c:tx>
          <c:invertIfNegative val="0"/>
          <c:cat>
            <c:numRef>
              <c:f>figure5!$I$4:$L$4</c:f>
              <c:numCache>
                <c:formatCode>General</c:formatCode>
                <c:ptCount val="4"/>
                <c:pt idx="0">
                  <c:v>2010</c:v>
                </c:pt>
                <c:pt idx="1">
                  <c:v>2011</c:v>
                </c:pt>
                <c:pt idx="2">
                  <c:v>2012</c:v>
                </c:pt>
                <c:pt idx="3">
                  <c:v>2013</c:v>
                </c:pt>
              </c:numCache>
            </c:numRef>
          </c:cat>
          <c:val>
            <c:numRef>
              <c:f>figure5!$I$15:$L$15</c:f>
              <c:numCache>
                <c:formatCode>0.0</c:formatCode>
                <c:ptCount val="4"/>
                <c:pt idx="0">
                  <c:v>14.399597738836828</c:v>
                </c:pt>
                <c:pt idx="1">
                  <c:v>14.956459139938019</c:v>
                </c:pt>
                <c:pt idx="2">
                  <c:v>15.029847446780117</c:v>
                </c:pt>
                <c:pt idx="3">
                  <c:v>14.868829191418406</c:v>
                </c:pt>
              </c:numCache>
            </c:numRef>
          </c:val>
        </c:ser>
        <c:dLbls>
          <c:showLegendKey val="0"/>
          <c:showVal val="0"/>
          <c:showCatName val="0"/>
          <c:showSerName val="0"/>
          <c:showPercent val="0"/>
          <c:showBubbleSize val="0"/>
        </c:dLbls>
        <c:gapWidth val="150"/>
        <c:overlap val="100"/>
        <c:axId val="125604608"/>
        <c:axId val="125606144"/>
      </c:barChart>
      <c:catAx>
        <c:axId val="125604608"/>
        <c:scaling>
          <c:orientation val="minMax"/>
        </c:scaling>
        <c:delete val="0"/>
        <c:axPos val="b"/>
        <c:numFmt formatCode="General" sourceLinked="1"/>
        <c:majorTickMark val="out"/>
        <c:minorTickMark val="none"/>
        <c:tickLblPos val="nextTo"/>
        <c:txPr>
          <a:bodyPr/>
          <a:lstStyle/>
          <a:p>
            <a:pPr>
              <a:defRPr sz="800"/>
            </a:pPr>
            <a:endParaRPr lang="en-US"/>
          </a:p>
        </c:txPr>
        <c:crossAx val="125606144"/>
        <c:crosses val="autoZero"/>
        <c:auto val="1"/>
        <c:lblAlgn val="ctr"/>
        <c:lblOffset val="100"/>
        <c:noMultiLvlLbl val="0"/>
      </c:catAx>
      <c:valAx>
        <c:axId val="125606144"/>
        <c:scaling>
          <c:orientation val="minMax"/>
        </c:scaling>
        <c:delete val="0"/>
        <c:axPos val="l"/>
        <c:numFmt formatCode="0%" sourceLinked="1"/>
        <c:majorTickMark val="out"/>
        <c:minorTickMark val="none"/>
        <c:tickLblPos val="nextTo"/>
        <c:txPr>
          <a:bodyPr/>
          <a:lstStyle/>
          <a:p>
            <a:pPr>
              <a:defRPr sz="800"/>
            </a:pPr>
            <a:endParaRPr lang="en-US"/>
          </a:p>
        </c:txPr>
        <c:crossAx val="125604608"/>
        <c:crosses val="autoZero"/>
        <c:crossBetween val="between"/>
      </c:valAx>
      <c:spPr>
        <a:ln>
          <a:solidFill>
            <a:sysClr val="windowText" lastClr="000000"/>
          </a:solidFill>
        </a:ln>
      </c:spPr>
    </c:plotArea>
    <c:legend>
      <c:legendPos val="r"/>
      <c:layout>
        <c:manualLayout>
          <c:xMode val="edge"/>
          <c:yMode val="edge"/>
          <c:x val="0.63002768745566839"/>
          <c:y val="0"/>
          <c:w val="0.35729388710165932"/>
          <c:h val="1"/>
        </c:manualLayout>
      </c:layout>
      <c:overlay val="0"/>
      <c:txPr>
        <a:bodyPr/>
        <a:lstStyle/>
        <a:p>
          <a:pPr>
            <a:defRPr sz="8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7821465722158"/>
          <c:y val="4.8325169169389656E-2"/>
          <c:w val="0.88992178534277844"/>
          <c:h val="0.87663897543704583"/>
        </c:manualLayout>
      </c:layout>
      <c:lineChart>
        <c:grouping val="standard"/>
        <c:varyColors val="0"/>
        <c:ser>
          <c:idx val="1"/>
          <c:order val="0"/>
          <c:tx>
            <c:strRef>
              <c:f>'figure13+table3'!$C$3</c:f>
              <c:strCache>
                <c:ptCount val="1"/>
                <c:pt idx="0">
                  <c:v>Crude Oil shock</c:v>
                </c:pt>
              </c:strCache>
            </c:strRef>
          </c:tx>
          <c:spPr>
            <a:ln w="34925">
              <a:solidFill>
                <a:schemeClr val="tx1">
                  <a:lumMod val="95000"/>
                  <a:lumOff val="5000"/>
                </a:schemeClr>
              </a:solidFill>
            </a:ln>
          </c:spPr>
          <c:marker>
            <c:symbol val="none"/>
          </c:marker>
          <c:cat>
            <c:strRef>
              <c:f>'figure13+table3'!$B$5:$B$12</c:f>
              <c:strCache>
                <c:ptCount val="8"/>
                <c:pt idx="0">
                  <c:v>Q1</c:v>
                </c:pt>
                <c:pt idx="1">
                  <c:v>Q2</c:v>
                </c:pt>
                <c:pt idx="2">
                  <c:v>Q3</c:v>
                </c:pt>
                <c:pt idx="3">
                  <c:v>Q4</c:v>
                </c:pt>
                <c:pt idx="4">
                  <c:v>Q5</c:v>
                </c:pt>
                <c:pt idx="5">
                  <c:v>Q6</c:v>
                </c:pt>
                <c:pt idx="6">
                  <c:v>Q7</c:v>
                </c:pt>
                <c:pt idx="7">
                  <c:v>Q8</c:v>
                </c:pt>
              </c:strCache>
            </c:strRef>
          </c:cat>
          <c:val>
            <c:numRef>
              <c:f>'figure13+table3'!$C$5:$C$12</c:f>
              <c:numCache>
                <c:formatCode>0.0</c:formatCode>
                <c:ptCount val="8"/>
                <c:pt idx="0">
                  <c:v>0.54820599999999997</c:v>
                </c:pt>
                <c:pt idx="1">
                  <c:v>2.8381400000000001</c:v>
                </c:pt>
                <c:pt idx="2">
                  <c:v>4.3933559999999998</c:v>
                </c:pt>
                <c:pt idx="3">
                  <c:v>5.14628</c:v>
                </c:pt>
                <c:pt idx="4">
                  <c:v>5.0048219999999999</c:v>
                </c:pt>
                <c:pt idx="5">
                  <c:v>4.7430649999999996</c:v>
                </c:pt>
                <c:pt idx="6">
                  <c:v>4.4996169999999998</c:v>
                </c:pt>
                <c:pt idx="7">
                  <c:v>4.4075810000000004</c:v>
                </c:pt>
              </c:numCache>
            </c:numRef>
          </c:val>
          <c:smooth val="0"/>
        </c:ser>
        <c:dLbls>
          <c:showLegendKey val="0"/>
          <c:showVal val="0"/>
          <c:showCatName val="0"/>
          <c:showSerName val="0"/>
          <c:showPercent val="0"/>
          <c:showBubbleSize val="0"/>
        </c:dLbls>
        <c:marker val="1"/>
        <c:smooth val="0"/>
        <c:axId val="126258176"/>
        <c:axId val="126259968"/>
      </c:lineChart>
      <c:catAx>
        <c:axId val="126258176"/>
        <c:scaling>
          <c:orientation val="minMax"/>
        </c:scaling>
        <c:delete val="0"/>
        <c:axPos val="b"/>
        <c:numFmt formatCode="General" sourceLinked="0"/>
        <c:majorTickMark val="none"/>
        <c:minorTickMark val="none"/>
        <c:tickLblPos val="low"/>
        <c:txPr>
          <a:bodyPr/>
          <a:lstStyle/>
          <a:p>
            <a:pPr>
              <a:defRPr lang="en-US" sz="800">
                <a:latin typeface="Times New Roman" pitchFamily="18" charset="0"/>
                <a:cs typeface="Times New Roman" pitchFamily="18" charset="0"/>
              </a:defRPr>
            </a:pPr>
            <a:endParaRPr lang="en-US"/>
          </a:p>
        </c:txPr>
        <c:crossAx val="126259968"/>
        <c:crosses val="autoZero"/>
        <c:auto val="1"/>
        <c:lblAlgn val="ctr"/>
        <c:lblOffset val="100"/>
        <c:noMultiLvlLbl val="0"/>
      </c:catAx>
      <c:valAx>
        <c:axId val="126259968"/>
        <c:scaling>
          <c:orientation val="minMax"/>
          <c:max val="6"/>
          <c:min val="-1"/>
        </c:scaling>
        <c:delete val="0"/>
        <c:axPos val="l"/>
        <c:majorGridlines/>
        <c:numFmt formatCode="0.0" sourceLinked="1"/>
        <c:majorTickMark val="none"/>
        <c:minorTickMark val="none"/>
        <c:tickLblPos val="nextTo"/>
        <c:spPr>
          <a:ln w="9525">
            <a:noFill/>
          </a:ln>
        </c:spPr>
        <c:txPr>
          <a:bodyPr/>
          <a:lstStyle/>
          <a:p>
            <a:pPr>
              <a:defRPr lang="en-US" sz="800">
                <a:latin typeface="Times New Roman" pitchFamily="18" charset="0"/>
                <a:cs typeface="Times New Roman" pitchFamily="18" charset="0"/>
              </a:defRPr>
            </a:pPr>
            <a:endParaRPr lang="en-US"/>
          </a:p>
        </c:txPr>
        <c:crossAx val="126258176"/>
        <c:crosses val="autoZero"/>
        <c:crossBetween val="between"/>
      </c:valAx>
    </c:plotArea>
    <c:legend>
      <c:legendPos val="b"/>
      <c:layout>
        <c:manualLayout>
          <c:xMode val="edge"/>
          <c:yMode val="edge"/>
          <c:x val="0.1162093708758426"/>
          <c:y val="5.1275319797679735E-2"/>
          <c:w val="0.69111302975132649"/>
          <c:h val="0.11397035469552708"/>
        </c:manualLayout>
      </c:layout>
      <c:overlay val="0"/>
      <c:txPr>
        <a:bodyPr/>
        <a:lstStyle/>
        <a:p>
          <a:pPr>
            <a:defRPr lang="en-US">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9031913550233"/>
          <c:y val="3.529306332816725E-2"/>
          <c:w val="0.87110968086449825"/>
          <c:h val="0.88041178718058088"/>
        </c:manualLayout>
      </c:layout>
      <c:lineChart>
        <c:grouping val="standard"/>
        <c:varyColors val="0"/>
        <c:ser>
          <c:idx val="2"/>
          <c:order val="0"/>
          <c:tx>
            <c:strRef>
              <c:f>'figure13+table3'!$D$3</c:f>
              <c:strCache>
                <c:ptCount val="1"/>
                <c:pt idx="0">
                  <c:v>World Demand shock</c:v>
                </c:pt>
              </c:strCache>
            </c:strRef>
          </c:tx>
          <c:spPr>
            <a:ln w="34925">
              <a:solidFill>
                <a:schemeClr val="bg1">
                  <a:lumMod val="50000"/>
                </a:schemeClr>
              </a:solidFill>
              <a:prstDash val="sysDash"/>
            </a:ln>
          </c:spPr>
          <c:marker>
            <c:symbol val="none"/>
          </c:marker>
          <c:cat>
            <c:strRef>
              <c:f>'figure13+table3'!$B$5:$B$12</c:f>
              <c:strCache>
                <c:ptCount val="8"/>
                <c:pt idx="0">
                  <c:v>Q1</c:v>
                </c:pt>
                <c:pt idx="1">
                  <c:v>Q2</c:v>
                </c:pt>
                <c:pt idx="2">
                  <c:v>Q3</c:v>
                </c:pt>
                <c:pt idx="3">
                  <c:v>Q4</c:v>
                </c:pt>
                <c:pt idx="4">
                  <c:v>Q5</c:v>
                </c:pt>
                <c:pt idx="5">
                  <c:v>Q6</c:v>
                </c:pt>
                <c:pt idx="6">
                  <c:v>Q7</c:v>
                </c:pt>
                <c:pt idx="7">
                  <c:v>Q8</c:v>
                </c:pt>
              </c:strCache>
            </c:strRef>
          </c:cat>
          <c:val>
            <c:numRef>
              <c:f>'figure13+table3'!$D$5:$D$12</c:f>
              <c:numCache>
                <c:formatCode>0.0</c:formatCode>
                <c:ptCount val="8"/>
                <c:pt idx="0">
                  <c:v>1.095852</c:v>
                </c:pt>
                <c:pt idx="1">
                  <c:v>1.1400079999999999</c:v>
                </c:pt>
                <c:pt idx="2">
                  <c:v>3.054141</c:v>
                </c:pt>
                <c:pt idx="3">
                  <c:v>3.8687830000000001</c:v>
                </c:pt>
                <c:pt idx="4">
                  <c:v>4.3352620000000002</c:v>
                </c:pt>
                <c:pt idx="5">
                  <c:v>4.1918499999999996</c:v>
                </c:pt>
                <c:pt idx="6">
                  <c:v>4.0973980000000001</c:v>
                </c:pt>
                <c:pt idx="7">
                  <c:v>3.940693</c:v>
                </c:pt>
              </c:numCache>
            </c:numRef>
          </c:val>
          <c:smooth val="0"/>
        </c:ser>
        <c:dLbls>
          <c:showLegendKey val="0"/>
          <c:showVal val="0"/>
          <c:showCatName val="0"/>
          <c:showSerName val="0"/>
          <c:showPercent val="0"/>
          <c:showBubbleSize val="0"/>
        </c:dLbls>
        <c:marker val="1"/>
        <c:smooth val="0"/>
        <c:axId val="126271872"/>
        <c:axId val="126273408"/>
      </c:lineChart>
      <c:catAx>
        <c:axId val="126271872"/>
        <c:scaling>
          <c:orientation val="minMax"/>
        </c:scaling>
        <c:delete val="0"/>
        <c:axPos val="b"/>
        <c:numFmt formatCode="General" sourceLinked="0"/>
        <c:majorTickMark val="none"/>
        <c:minorTickMark val="none"/>
        <c:tickLblPos val="low"/>
        <c:txPr>
          <a:bodyPr/>
          <a:lstStyle/>
          <a:p>
            <a:pPr>
              <a:defRPr lang="en-US" sz="800">
                <a:latin typeface="Times New Roman" pitchFamily="18" charset="0"/>
                <a:cs typeface="Times New Roman" pitchFamily="18" charset="0"/>
              </a:defRPr>
            </a:pPr>
            <a:endParaRPr lang="en-US"/>
          </a:p>
        </c:txPr>
        <c:crossAx val="126273408"/>
        <c:crosses val="autoZero"/>
        <c:auto val="1"/>
        <c:lblAlgn val="ctr"/>
        <c:lblOffset val="100"/>
        <c:noMultiLvlLbl val="0"/>
      </c:catAx>
      <c:valAx>
        <c:axId val="126273408"/>
        <c:scaling>
          <c:orientation val="minMax"/>
          <c:max val="6"/>
          <c:min val="-1"/>
        </c:scaling>
        <c:delete val="0"/>
        <c:axPos val="l"/>
        <c:majorGridlines/>
        <c:numFmt formatCode="0.0" sourceLinked="1"/>
        <c:majorTickMark val="none"/>
        <c:minorTickMark val="none"/>
        <c:tickLblPos val="nextTo"/>
        <c:spPr>
          <a:ln w="9525">
            <a:noFill/>
          </a:ln>
        </c:spPr>
        <c:txPr>
          <a:bodyPr/>
          <a:lstStyle/>
          <a:p>
            <a:pPr>
              <a:defRPr lang="en-US" sz="800">
                <a:latin typeface="Times New Roman" pitchFamily="18" charset="0"/>
                <a:cs typeface="Times New Roman" pitchFamily="18" charset="0"/>
              </a:defRPr>
            </a:pPr>
            <a:endParaRPr lang="en-US"/>
          </a:p>
        </c:txPr>
        <c:crossAx val="126271872"/>
        <c:crosses val="autoZero"/>
        <c:crossBetween val="between"/>
      </c:valAx>
    </c:plotArea>
    <c:legend>
      <c:legendPos val="b"/>
      <c:legendEntry>
        <c:idx val="0"/>
        <c:txPr>
          <a:bodyPr/>
          <a:lstStyle/>
          <a:p>
            <a:pPr>
              <a:defRPr lang="en-US">
                <a:latin typeface="Times New Roman" pitchFamily="18" charset="0"/>
                <a:cs typeface="Times New Roman" pitchFamily="18" charset="0"/>
              </a:defRPr>
            </a:pPr>
            <a:endParaRPr lang="en-US"/>
          </a:p>
        </c:txPr>
      </c:legendEntry>
      <c:layout>
        <c:manualLayout>
          <c:xMode val="edge"/>
          <c:yMode val="edge"/>
          <c:x val="0.12290784772119868"/>
          <c:y val="6.2882818109085914E-2"/>
          <c:w val="0.78630444447093251"/>
          <c:h val="8.3717191601049956E-2"/>
        </c:manualLayout>
      </c:layout>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8729301593216"/>
          <c:y val="4.0779545682319646E-2"/>
          <c:w val="0.87581270698406788"/>
          <c:h val="0.88881458802298097"/>
        </c:manualLayout>
      </c:layout>
      <c:lineChart>
        <c:grouping val="standard"/>
        <c:varyColors val="0"/>
        <c:ser>
          <c:idx val="2"/>
          <c:order val="0"/>
          <c:tx>
            <c:strRef>
              <c:f>'figure13+table3'!$E$3</c:f>
              <c:strCache>
                <c:ptCount val="1"/>
                <c:pt idx="0">
                  <c:v>Financial Volatility shock</c:v>
                </c:pt>
              </c:strCache>
            </c:strRef>
          </c:tx>
          <c:spPr>
            <a:ln>
              <a:solidFill>
                <a:schemeClr val="tx1">
                  <a:lumMod val="95000"/>
                  <a:lumOff val="5000"/>
                </a:schemeClr>
              </a:solidFill>
              <a:prstDash val="sysDot"/>
            </a:ln>
          </c:spPr>
          <c:marker>
            <c:symbol val="none"/>
          </c:marker>
          <c:cat>
            <c:strRef>
              <c:f>'figure13+table3'!$B$5:$B$12</c:f>
              <c:strCache>
                <c:ptCount val="8"/>
                <c:pt idx="0">
                  <c:v>Q1</c:v>
                </c:pt>
                <c:pt idx="1">
                  <c:v>Q2</c:v>
                </c:pt>
                <c:pt idx="2">
                  <c:v>Q3</c:v>
                </c:pt>
                <c:pt idx="3">
                  <c:v>Q4</c:v>
                </c:pt>
                <c:pt idx="4">
                  <c:v>Q5</c:v>
                </c:pt>
                <c:pt idx="5">
                  <c:v>Q6</c:v>
                </c:pt>
                <c:pt idx="6">
                  <c:v>Q7</c:v>
                </c:pt>
                <c:pt idx="7">
                  <c:v>Q8</c:v>
                </c:pt>
              </c:strCache>
            </c:strRef>
          </c:cat>
          <c:val>
            <c:numRef>
              <c:f>'figure13+table3'!$E$5:$E$12</c:f>
              <c:numCache>
                <c:formatCode>0.0</c:formatCode>
                <c:ptCount val="8"/>
                <c:pt idx="0">
                  <c:v>6.8895999999999999E-2</c:v>
                </c:pt>
                <c:pt idx="1">
                  <c:v>-0.69136799999999998</c:v>
                </c:pt>
                <c:pt idx="2">
                  <c:v>-0.664493</c:v>
                </c:pt>
                <c:pt idx="3">
                  <c:v>-0.49396499999999999</c:v>
                </c:pt>
                <c:pt idx="4">
                  <c:v>-0.39043800000000001</c:v>
                </c:pt>
                <c:pt idx="5">
                  <c:v>-0.42549700000000001</c:v>
                </c:pt>
                <c:pt idx="6">
                  <c:v>-0.47107399999999999</c:v>
                </c:pt>
                <c:pt idx="7">
                  <c:v>-0.50923600000000002</c:v>
                </c:pt>
              </c:numCache>
            </c:numRef>
          </c:val>
          <c:smooth val="0"/>
        </c:ser>
        <c:dLbls>
          <c:showLegendKey val="0"/>
          <c:showVal val="0"/>
          <c:showCatName val="0"/>
          <c:showSerName val="0"/>
          <c:showPercent val="0"/>
          <c:showBubbleSize val="0"/>
        </c:dLbls>
        <c:marker val="1"/>
        <c:smooth val="0"/>
        <c:axId val="126297984"/>
        <c:axId val="126299520"/>
      </c:lineChart>
      <c:catAx>
        <c:axId val="126297984"/>
        <c:scaling>
          <c:orientation val="minMax"/>
        </c:scaling>
        <c:delete val="0"/>
        <c:axPos val="b"/>
        <c:numFmt formatCode="General" sourceLinked="0"/>
        <c:majorTickMark val="none"/>
        <c:minorTickMark val="none"/>
        <c:tickLblPos val="low"/>
        <c:txPr>
          <a:bodyPr/>
          <a:lstStyle/>
          <a:p>
            <a:pPr>
              <a:defRPr lang="en-US" sz="800">
                <a:latin typeface="Times New Roman" pitchFamily="18" charset="0"/>
                <a:cs typeface="Times New Roman" pitchFamily="18" charset="0"/>
              </a:defRPr>
            </a:pPr>
            <a:endParaRPr lang="en-US"/>
          </a:p>
        </c:txPr>
        <c:crossAx val="126299520"/>
        <c:crosses val="autoZero"/>
        <c:auto val="1"/>
        <c:lblAlgn val="ctr"/>
        <c:lblOffset val="100"/>
        <c:noMultiLvlLbl val="0"/>
      </c:catAx>
      <c:valAx>
        <c:axId val="126299520"/>
        <c:scaling>
          <c:orientation val="minMax"/>
          <c:max val="6"/>
          <c:min val="-1"/>
        </c:scaling>
        <c:delete val="0"/>
        <c:axPos val="l"/>
        <c:majorGridlines/>
        <c:numFmt formatCode="0.0" sourceLinked="1"/>
        <c:majorTickMark val="none"/>
        <c:minorTickMark val="none"/>
        <c:tickLblPos val="nextTo"/>
        <c:spPr>
          <a:ln w="9525">
            <a:noFill/>
          </a:ln>
        </c:spPr>
        <c:txPr>
          <a:bodyPr/>
          <a:lstStyle/>
          <a:p>
            <a:pPr>
              <a:defRPr lang="en-US" sz="800">
                <a:latin typeface="Times New Roman" pitchFamily="18" charset="0"/>
                <a:cs typeface="Times New Roman" pitchFamily="18" charset="0"/>
              </a:defRPr>
            </a:pPr>
            <a:endParaRPr lang="en-US"/>
          </a:p>
        </c:txPr>
        <c:crossAx val="126297984"/>
        <c:crosses val="autoZero"/>
        <c:crossBetween val="between"/>
      </c:valAx>
    </c:plotArea>
    <c:legend>
      <c:legendPos val="b"/>
      <c:layout>
        <c:manualLayout>
          <c:xMode val="edge"/>
          <c:yMode val="edge"/>
          <c:x val="0.12594333631191673"/>
          <c:y val="5.5051582853579722E-2"/>
          <c:w val="0.82315135252782579"/>
          <c:h val="8.3717191601049956E-2"/>
        </c:manualLayout>
      </c:layout>
      <c:overlay val="0"/>
      <c:txPr>
        <a:bodyPr/>
        <a:lstStyle/>
        <a:p>
          <a:pPr>
            <a:defRPr lang="en-US">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2.3290575857504991E-2"/>
          <c:y val="5.9058282644714327E-2"/>
          <c:w val="0.96666666666666667"/>
          <c:h val="0.74811650898177451"/>
        </c:manualLayout>
      </c:layout>
      <c:barChart>
        <c:barDir val="col"/>
        <c:grouping val="stacked"/>
        <c:varyColors val="0"/>
        <c:ser>
          <c:idx val="0"/>
          <c:order val="0"/>
          <c:tx>
            <c:strRef>
              <c:f>'Figure15+16'!$G$70</c:f>
              <c:strCache>
                <c:ptCount val="1"/>
                <c:pt idx="0">
                  <c:v>Russia</c:v>
                </c:pt>
              </c:strCache>
            </c:strRef>
          </c:tx>
          <c:spPr>
            <a:solidFill>
              <a:schemeClr val="bg1"/>
            </a:solidFill>
            <a:ln>
              <a:solidFill>
                <a:schemeClr val="tx1"/>
              </a:solidFill>
            </a:ln>
          </c:spPr>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'Figure15+16'!$A$5:$A$12</c:f>
              <c:strCache>
                <c:ptCount val="8"/>
                <c:pt idx="0">
                  <c:v>Q1</c:v>
                </c:pt>
                <c:pt idx="1">
                  <c:v>Q2</c:v>
                </c:pt>
                <c:pt idx="2">
                  <c:v>Q3</c:v>
                </c:pt>
                <c:pt idx="3">
                  <c:v>Q4</c:v>
                </c:pt>
                <c:pt idx="4">
                  <c:v>Q5</c:v>
                </c:pt>
                <c:pt idx="5">
                  <c:v>Q6</c:v>
                </c:pt>
                <c:pt idx="6">
                  <c:v>Q7</c:v>
                </c:pt>
                <c:pt idx="7">
                  <c:v>Q8</c:v>
                </c:pt>
              </c:strCache>
            </c:strRef>
          </c:cat>
          <c:val>
            <c:numRef>
              <c:f>'Figure15+16'!$G$71:$G$78</c:f>
              <c:numCache>
                <c:formatCode>0.0</c:formatCode>
                <c:ptCount val="8"/>
                <c:pt idx="0">
                  <c:v>0.69431300000000007</c:v>
                </c:pt>
                <c:pt idx="1">
                  <c:v>0.46059900000000004</c:v>
                </c:pt>
                <c:pt idx="2">
                  <c:v>1.2254639999999966</c:v>
                </c:pt>
                <c:pt idx="3">
                  <c:v>2.4432</c:v>
                </c:pt>
                <c:pt idx="4">
                  <c:v>3.0675780000000001</c:v>
                </c:pt>
                <c:pt idx="5">
                  <c:v>2.8941729999999977</c:v>
                </c:pt>
                <c:pt idx="6">
                  <c:v>2.6968399999999977</c:v>
                </c:pt>
                <c:pt idx="7">
                  <c:v>2.7057570000000002</c:v>
                </c:pt>
              </c:numCache>
            </c:numRef>
          </c:val>
        </c:ser>
        <c:ser>
          <c:idx val="1"/>
          <c:order val="1"/>
          <c:tx>
            <c:strRef>
              <c:f>'Figure15+16'!$G$81</c:f>
              <c:strCache>
                <c:ptCount val="1"/>
                <c:pt idx="0">
                  <c:v>EU</c:v>
                </c:pt>
              </c:strCache>
            </c:strRef>
          </c:tx>
          <c:spPr>
            <a:solidFill>
              <a:schemeClr val="bg1">
                <a:lumMod val="85000"/>
              </a:schemeClr>
            </a:solidFill>
            <a:ln>
              <a:solidFill>
                <a:schemeClr val="tx1"/>
              </a:solidFill>
            </a:ln>
          </c:spPr>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'Figure15+16'!$A$5:$A$12</c:f>
              <c:strCache>
                <c:ptCount val="8"/>
                <c:pt idx="0">
                  <c:v>Q1</c:v>
                </c:pt>
                <c:pt idx="1">
                  <c:v>Q2</c:v>
                </c:pt>
                <c:pt idx="2">
                  <c:v>Q3</c:v>
                </c:pt>
                <c:pt idx="3">
                  <c:v>Q4</c:v>
                </c:pt>
                <c:pt idx="4">
                  <c:v>Q5</c:v>
                </c:pt>
                <c:pt idx="5">
                  <c:v>Q6</c:v>
                </c:pt>
                <c:pt idx="6">
                  <c:v>Q7</c:v>
                </c:pt>
                <c:pt idx="7">
                  <c:v>Q8</c:v>
                </c:pt>
              </c:strCache>
            </c:strRef>
          </c:cat>
          <c:val>
            <c:numRef>
              <c:f>'Figure15+16'!$G$82:$G$89</c:f>
              <c:numCache>
                <c:formatCode>0.0</c:formatCode>
                <c:ptCount val="8"/>
                <c:pt idx="0">
                  <c:v>0.38866700000000032</c:v>
                </c:pt>
                <c:pt idx="1">
                  <c:v>0.49138800000000138</c:v>
                </c:pt>
                <c:pt idx="2">
                  <c:v>0.6590189999999998</c:v>
                </c:pt>
                <c:pt idx="3">
                  <c:v>0.85043500000000005</c:v>
                </c:pt>
                <c:pt idx="4">
                  <c:v>0.98079099999999997</c:v>
                </c:pt>
                <c:pt idx="5">
                  <c:v>0.93529299999999949</c:v>
                </c:pt>
                <c:pt idx="6">
                  <c:v>0.88667899999999999</c:v>
                </c:pt>
                <c:pt idx="7">
                  <c:v>0.78219500000000064</c:v>
                </c:pt>
              </c:numCache>
            </c:numRef>
          </c:val>
        </c:ser>
        <c:ser>
          <c:idx val="2"/>
          <c:order val="2"/>
          <c:tx>
            <c:strRef>
              <c:f>'Figure15+16'!$G$92</c:f>
              <c:strCache>
                <c:ptCount val="1"/>
                <c:pt idx="0">
                  <c:v>US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'Figure15+16'!$A$5:$A$12</c:f>
              <c:strCache>
                <c:ptCount val="8"/>
                <c:pt idx="0">
                  <c:v>Q1</c:v>
                </c:pt>
                <c:pt idx="1">
                  <c:v>Q2</c:v>
                </c:pt>
                <c:pt idx="2">
                  <c:v>Q3</c:v>
                </c:pt>
                <c:pt idx="3">
                  <c:v>Q4</c:v>
                </c:pt>
                <c:pt idx="4">
                  <c:v>Q5</c:v>
                </c:pt>
                <c:pt idx="5">
                  <c:v>Q6</c:v>
                </c:pt>
                <c:pt idx="6">
                  <c:v>Q7</c:v>
                </c:pt>
                <c:pt idx="7">
                  <c:v>Q8</c:v>
                </c:pt>
              </c:strCache>
            </c:strRef>
          </c:cat>
          <c:val>
            <c:numRef>
              <c:f>'Figure15+16'!$G$93:$G$100</c:f>
              <c:numCache>
                <c:formatCode>0.0</c:formatCode>
                <c:ptCount val="8"/>
                <c:pt idx="0">
                  <c:v>0.11631699999999998</c:v>
                </c:pt>
                <c:pt idx="1">
                  <c:v>0.14651700000000034</c:v>
                </c:pt>
                <c:pt idx="2">
                  <c:v>0.12086700000000006</c:v>
                </c:pt>
                <c:pt idx="3">
                  <c:v>0.10490000000000022</c:v>
                </c:pt>
                <c:pt idx="4">
                  <c:v>0.10458100000000049</c:v>
                </c:pt>
                <c:pt idx="5">
                  <c:v>7.5579999999999536E-2</c:v>
                </c:pt>
                <c:pt idx="6">
                  <c:v>7.9567000000000124E-2</c:v>
                </c:pt>
                <c:pt idx="7">
                  <c:v>7.3869000000000198E-2</c:v>
                </c:pt>
              </c:numCache>
            </c:numRef>
          </c:val>
        </c:ser>
        <c:dLbls>
          <c:showLegendKey val="0"/>
          <c:showVal val="1"/>
          <c:showCatName val="0"/>
          <c:showSerName val="0"/>
          <c:showPercent val="0"/>
          <c:showBubbleSize val="0"/>
        </c:dLbls>
        <c:gapWidth val="95"/>
        <c:overlap val="100"/>
        <c:axId val="126345216"/>
        <c:axId val="126347904"/>
      </c:barChart>
      <c:lineChart>
        <c:grouping val="standard"/>
        <c:varyColors val="0"/>
        <c:ser>
          <c:idx val="3"/>
          <c:order val="3"/>
          <c:tx>
            <c:strRef>
              <c:f>'Figure15+16'!$C$3</c:f>
              <c:strCache>
                <c:ptCount val="1"/>
                <c:pt idx="0">
                  <c:v>Overall efect</c:v>
                </c:pt>
              </c:strCache>
            </c:strRef>
          </c:tx>
          <c:spPr>
            <a:ln>
              <a:solidFill>
                <a:schemeClr val="tx1">
                  <a:lumMod val="95000"/>
                  <a:lumOff val="5000"/>
                </a:schemeClr>
              </a:solidFill>
            </a:ln>
          </c:spPr>
          <c:marker>
            <c:symbol val="none"/>
          </c:marker>
          <c:dLbls>
            <c:dLbl>
              <c:idx val="0"/>
              <c:layout>
                <c:manualLayout>
                  <c:x val="-8.2777922802091345E-3"/>
                  <c:y val="-5.36330402050724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625032630470561E-2"/>
                  <c:y val="-8.49189803246980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388961401046288E-3"/>
                  <c:y val="-5.36330402050724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02247801538043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694480700522828E-3"/>
                  <c:y val="-3.57553601367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3.1285940119625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2347100085446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'Figure15+16'!$C$5:$C$12</c:f>
              <c:numCache>
                <c:formatCode>0.0</c:formatCode>
                <c:ptCount val="8"/>
                <c:pt idx="0">
                  <c:v>1.095852</c:v>
                </c:pt>
                <c:pt idx="1">
                  <c:v>1.1400080000000001</c:v>
                </c:pt>
                <c:pt idx="2">
                  <c:v>3.054141</c:v>
                </c:pt>
                <c:pt idx="3">
                  <c:v>3.8687830000000001</c:v>
                </c:pt>
                <c:pt idx="4">
                  <c:v>4.3352620000000135</c:v>
                </c:pt>
                <c:pt idx="5">
                  <c:v>4.1918499999999996</c:v>
                </c:pt>
                <c:pt idx="6">
                  <c:v>4.0973980000000001</c:v>
                </c:pt>
                <c:pt idx="7">
                  <c:v>3.940693</c:v>
                </c:pt>
              </c:numCache>
            </c:numRef>
          </c:val>
          <c:smooth val="0"/>
        </c:ser>
        <c:dLbls>
          <c:showLegendKey val="0"/>
          <c:showVal val="1"/>
          <c:showCatName val="0"/>
          <c:showSerName val="0"/>
          <c:showPercent val="0"/>
          <c:showBubbleSize val="0"/>
        </c:dLbls>
        <c:marker val="1"/>
        <c:smooth val="0"/>
        <c:axId val="126345216"/>
        <c:axId val="126347904"/>
      </c:lineChart>
      <c:catAx>
        <c:axId val="126345216"/>
        <c:scaling>
          <c:orientation val="minMax"/>
        </c:scaling>
        <c:delete val="0"/>
        <c:axPos val="b"/>
        <c:numFmt formatCode="General" sourceLinked="1"/>
        <c:majorTickMark val="none"/>
        <c:minorTickMark val="none"/>
        <c:tickLblPos val="nextTo"/>
        <c:crossAx val="126347904"/>
        <c:crosses val="autoZero"/>
        <c:auto val="1"/>
        <c:lblAlgn val="ctr"/>
        <c:lblOffset val="100"/>
        <c:noMultiLvlLbl val="0"/>
      </c:catAx>
      <c:valAx>
        <c:axId val="126347904"/>
        <c:scaling>
          <c:orientation val="minMax"/>
        </c:scaling>
        <c:delete val="1"/>
        <c:axPos val="l"/>
        <c:numFmt formatCode="0.0" sourceLinked="1"/>
        <c:majorTickMark val="none"/>
        <c:minorTickMark val="none"/>
        <c:tickLblPos val="none"/>
        <c:crossAx val="126345216"/>
        <c:crosses val="autoZero"/>
        <c:crossBetween val="between"/>
      </c:valAx>
      <c:spPr>
        <a:ln>
          <a:solidFill>
            <a:sysClr val="windowText" lastClr="000000"/>
          </a:solidFill>
        </a:ln>
      </c:spPr>
    </c:plotArea>
    <c:legend>
      <c:legendPos val="t"/>
      <c:layout>
        <c:manualLayout>
          <c:xMode val="edge"/>
          <c:yMode val="edge"/>
          <c:x val="0.2393428000987057"/>
          <c:y val="0.8922854003315146"/>
          <c:w val="0.58969028871391049"/>
          <c:h val="8.5542994431303893E-2"/>
        </c:manualLayout>
      </c:layout>
      <c:overlay val="0"/>
      <c:txPr>
        <a:bodyPr/>
        <a:lstStyle/>
        <a:p>
          <a:pPr>
            <a:defRPr sz="1100" b="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44861-5200-4416-AE92-6B4DB1D6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PDP-Working Paper</Template>
  <TotalTime>3</TotalTime>
  <Pages>26</Pages>
  <Words>7906</Words>
  <Characters>45069</Characters>
  <Application>Microsoft Office Word</Application>
  <DocSecurity>0</DocSecurity>
  <Lines>375</Lines>
  <Paragraphs>105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PDP-Working Paper</vt:lpstr>
      <vt:lpstr>PDP-Working Paper</vt:lpstr>
    </vt:vector>
  </TitlesOfParts>
  <Company>IMF</Company>
  <LinksUpToDate>false</LinksUpToDate>
  <CharactersWithSpaces>52870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PDP-Working Paper</dc:title>
  <dc:creator>tdabanlocal</dc:creator>
  <cp:keywords>IMF</cp:keywords>
  <dc:description>Template used Fund-wide for policy discussion papers and working papers.</dc:description>
  <cp:lastModifiedBy>Shushan</cp:lastModifiedBy>
  <cp:revision>2</cp:revision>
  <cp:lastPrinted>2015-04-03T15:14:00Z</cp:lastPrinted>
  <dcterms:created xsi:type="dcterms:W3CDTF">2015-05-04T19:03:00Z</dcterms:created>
  <dcterms:modified xsi:type="dcterms:W3CDTF">2015-05-04T19:03:00Z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-1434869243</vt:i4>
  </property>
  <property fmtid="{D5CDD505-2E9C-101B-9397-08002B2CF9AE}" pid="3" name="_NewReviewCycle">
    <vt:lpwstr/>
  </property>
  <property fmtid="{D5CDD505-2E9C-101B-9397-08002B2CF9AE}" pid="4" name="_EmailSubject">
    <vt:lpwstr>AEA 2015 Annual Meetings</vt:lpwstr>
  </property>
  <property fmtid="{D5CDD505-2E9C-101B-9397-08002B2CF9AE}" pid="5" name="_AuthorEmail">
    <vt:lpwstr>TDABAN@imf.org</vt:lpwstr>
  </property>
  <property fmtid="{D5CDD505-2E9C-101B-9397-08002B2CF9AE}" pid="6" name="_AuthorEmailDisplayName">
    <vt:lpwstr>Daban Sanchez, Teresa</vt:lpwstr>
  </property>
  <property fmtid="{D5CDD505-2E9C-101B-9397-08002B2CF9AE}" pid="7" name="_PreviousAdHocReviewCycleID">
    <vt:i4>-794575990</vt:i4>
  </property>
  <property fmtid="{D5CDD505-2E9C-101B-9397-08002B2CF9AE}" pid="8" name="_ReviewingToolsShownOnce">
    <vt:lpwstr/>
  </property>
</Properties>
</file>