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caps/>
          <w:lang w:eastAsia="en-US"/>
        </w:rPr>
        <w:id w:val="-518545391"/>
        <w:docPartObj>
          <w:docPartGallery w:val="Cover Pages"/>
          <w:docPartUnique/>
        </w:docPartObj>
      </w:sdtPr>
      <w:sdtEndPr>
        <w:rPr>
          <w:rFonts w:eastAsiaTheme="minorHAnsi"/>
          <w:i/>
          <w:caps w:val="0"/>
          <w:sz w:val="36"/>
          <w:szCs w:val="36"/>
        </w:rPr>
      </w:sdtEndPr>
      <w:sdtContent>
        <w:bookmarkStart w:id="0" w:name="_GoBack" w:displacedByCustomXml="prev"/>
        <w:bookmarkEnd w:id="0" w:displacedByCustomXml="prev"/>
        <w:tbl>
          <w:tblPr>
            <w:tblW w:w="5000" w:type="pct"/>
            <w:jc w:val="center"/>
            <w:tblLook w:val="04A0" w:firstRow="1" w:lastRow="0" w:firstColumn="1" w:lastColumn="0" w:noHBand="0" w:noVBand="1"/>
          </w:tblPr>
          <w:tblGrid>
            <w:gridCol w:w="9245"/>
          </w:tblGrid>
          <w:tr w:rsidR="005D38AA">
            <w:trPr>
              <w:trHeight w:val="2880"/>
              <w:jc w:val="center"/>
            </w:trPr>
            <w:tc>
              <w:tcPr>
                <w:tcW w:w="5000" w:type="pct"/>
              </w:tcPr>
              <w:p w:rsidR="005D38AA" w:rsidRPr="005D38AA" w:rsidRDefault="005D38AA" w:rsidP="00603A56">
                <w:pPr>
                  <w:pStyle w:val="NoSpacing"/>
                  <w:jc w:val="center"/>
                  <w:rPr>
                    <w:rFonts w:ascii="Times New Roman" w:eastAsiaTheme="majorEastAsia" w:hAnsi="Times New Roman" w:cs="Times New Roman"/>
                    <w:caps/>
                  </w:rPr>
                </w:pPr>
              </w:p>
            </w:tc>
          </w:tr>
          <w:tr w:rsidR="005D38AA">
            <w:trPr>
              <w:trHeight w:val="1440"/>
              <w:jc w:val="center"/>
            </w:trPr>
            <w:sdt>
              <w:sdtPr>
                <w:rPr>
                  <w:rFonts w:ascii="Times New Roman" w:eastAsiaTheme="majorEastAsia" w:hAnsi="Times New Roman" w:cs="Times New Roman"/>
                  <w:sz w:val="80"/>
                  <w:szCs w:val="80"/>
                </w:rPr>
                <w:alias w:val="Title"/>
                <w:id w:val="15524250"/>
                <w:placeholder>
                  <w:docPart w:val="BBAE923B259B43938FC7D385CEB30E33"/>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D38AA" w:rsidRPr="005D38AA" w:rsidRDefault="005D38AA" w:rsidP="005D38AA">
                    <w:pPr>
                      <w:pStyle w:val="NoSpacing"/>
                      <w:jc w:val="center"/>
                      <w:rPr>
                        <w:rFonts w:ascii="Times New Roman" w:eastAsiaTheme="majorEastAsia" w:hAnsi="Times New Roman" w:cs="Times New Roman"/>
                        <w:sz w:val="80"/>
                        <w:szCs w:val="80"/>
                      </w:rPr>
                    </w:pPr>
                    <w:r w:rsidRPr="005D38AA">
                      <w:rPr>
                        <w:rFonts w:ascii="Times New Roman" w:eastAsiaTheme="majorEastAsia" w:hAnsi="Times New Roman" w:cs="Times New Roman"/>
                        <w:sz w:val="80"/>
                        <w:szCs w:val="80"/>
                      </w:rPr>
                      <w:t>Dutch Disease in Armenia: by Sector Study</w:t>
                    </w:r>
                  </w:p>
                </w:tc>
              </w:sdtContent>
            </w:sdt>
          </w:tr>
          <w:tr w:rsidR="005D38AA">
            <w:trPr>
              <w:trHeight w:val="720"/>
              <w:jc w:val="center"/>
            </w:trPr>
            <w:tc>
              <w:tcPr>
                <w:tcW w:w="5000" w:type="pct"/>
                <w:tcBorders>
                  <w:top w:val="single" w:sz="4" w:space="0" w:color="4F81BD" w:themeColor="accent1"/>
                </w:tcBorders>
                <w:vAlign w:val="center"/>
              </w:tcPr>
              <w:p w:rsidR="005D38AA" w:rsidRPr="005D38AA" w:rsidRDefault="005D38AA" w:rsidP="00603A56">
                <w:pPr>
                  <w:pStyle w:val="NoSpacing"/>
                  <w:jc w:val="center"/>
                  <w:rPr>
                    <w:rFonts w:ascii="Times New Roman" w:eastAsiaTheme="majorEastAsia" w:hAnsi="Times New Roman" w:cs="Times New Roman"/>
                    <w:sz w:val="44"/>
                    <w:szCs w:val="44"/>
                  </w:rPr>
                </w:pPr>
              </w:p>
            </w:tc>
          </w:tr>
          <w:tr w:rsidR="005D38AA">
            <w:trPr>
              <w:trHeight w:val="360"/>
              <w:jc w:val="center"/>
            </w:trPr>
            <w:tc>
              <w:tcPr>
                <w:tcW w:w="5000" w:type="pct"/>
                <w:vAlign w:val="center"/>
              </w:tcPr>
              <w:p w:rsidR="005D38AA" w:rsidRPr="005D38AA" w:rsidRDefault="005D38AA">
                <w:pPr>
                  <w:pStyle w:val="NoSpacing"/>
                  <w:jc w:val="center"/>
                  <w:rPr>
                    <w:rFonts w:ascii="Times New Roman" w:hAnsi="Times New Roman" w:cs="Times New Roman"/>
                  </w:rPr>
                </w:pPr>
              </w:p>
            </w:tc>
          </w:tr>
          <w:tr w:rsidR="005D38AA">
            <w:trPr>
              <w:trHeight w:val="360"/>
              <w:jc w:val="center"/>
            </w:trPr>
            <w:sdt>
              <w:sdtPr>
                <w:rPr>
                  <w:rFonts w:ascii="Times New Roman" w:hAnsi="Times New Roman" w:cs="Times New Roman"/>
                  <w:b/>
                  <w:bCs/>
                  <w:sz w:val="32"/>
                  <w:szCs w:val="3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D38AA" w:rsidRPr="005D38AA" w:rsidRDefault="005D38AA">
                    <w:pPr>
                      <w:pStyle w:val="NoSpacing"/>
                      <w:jc w:val="center"/>
                      <w:rPr>
                        <w:rFonts w:ascii="Times New Roman" w:hAnsi="Times New Roman" w:cs="Times New Roman"/>
                        <w:b/>
                        <w:bCs/>
                        <w:sz w:val="32"/>
                        <w:szCs w:val="32"/>
                      </w:rPr>
                    </w:pPr>
                    <w:r w:rsidRPr="005D38AA">
                      <w:rPr>
                        <w:rFonts w:ascii="Times New Roman" w:hAnsi="Times New Roman" w:cs="Times New Roman"/>
                        <w:b/>
                        <w:bCs/>
                        <w:sz w:val="32"/>
                        <w:szCs w:val="32"/>
                      </w:rPr>
                      <w:t>Arpine Sahakyan</w:t>
                    </w:r>
                  </w:p>
                </w:tc>
              </w:sdtContent>
            </w:sdt>
          </w:tr>
          <w:tr w:rsidR="005D38AA">
            <w:trPr>
              <w:trHeight w:val="360"/>
              <w:jc w:val="center"/>
            </w:trPr>
            <w:tc>
              <w:tcPr>
                <w:tcW w:w="5000" w:type="pct"/>
                <w:vAlign w:val="center"/>
              </w:tcPr>
              <w:p w:rsidR="005D38AA" w:rsidRPr="005D38AA" w:rsidRDefault="005D38AA" w:rsidP="005D38AA">
                <w:pPr>
                  <w:pStyle w:val="NoSpacing"/>
                  <w:jc w:val="center"/>
                  <w:rPr>
                    <w:rFonts w:ascii="Times New Roman" w:hAnsi="Times New Roman" w:cs="Times New Roman"/>
                    <w:b/>
                    <w:bCs/>
                    <w:sz w:val="28"/>
                    <w:szCs w:val="28"/>
                  </w:rPr>
                </w:pPr>
                <w:r w:rsidRPr="005D38AA">
                  <w:rPr>
                    <w:rFonts w:ascii="Times New Roman" w:hAnsi="Times New Roman" w:cs="Times New Roman"/>
                    <w:b/>
                    <w:bCs/>
                    <w:sz w:val="28"/>
                    <w:szCs w:val="28"/>
                  </w:rPr>
                  <w:t>2014</w:t>
                </w:r>
              </w:p>
            </w:tc>
          </w:tr>
        </w:tbl>
        <w:p w:rsidR="005D38AA" w:rsidRDefault="005D38AA"/>
        <w:p w:rsidR="005D38AA" w:rsidRDefault="005D38AA"/>
        <w:p w:rsidR="005D38AA" w:rsidRDefault="005D38AA"/>
        <w:p w:rsidR="005D38AA" w:rsidRDefault="005D38AA">
          <w:pPr>
            <w:rPr>
              <w:rFonts w:ascii="Times New Roman" w:hAnsi="Times New Roman" w:cs="Times New Roman"/>
              <w:i/>
              <w:sz w:val="36"/>
              <w:szCs w:val="36"/>
            </w:rPr>
          </w:pPr>
          <w:r>
            <w:rPr>
              <w:rFonts w:ascii="Times New Roman" w:hAnsi="Times New Roman" w:cs="Times New Roman"/>
              <w:i/>
              <w:sz w:val="36"/>
              <w:szCs w:val="36"/>
            </w:rPr>
            <w:br w:type="page"/>
          </w:r>
        </w:p>
      </w:sdtContent>
    </w:sdt>
    <w:p w:rsidR="006D0954" w:rsidRPr="00686B43" w:rsidRDefault="006D0954" w:rsidP="006D0954">
      <w:pPr>
        <w:spacing w:after="0" w:line="480" w:lineRule="auto"/>
        <w:jc w:val="center"/>
        <w:rPr>
          <w:rFonts w:ascii="Times New Roman" w:hAnsi="Times New Roman" w:cs="Times New Roman"/>
          <w:i/>
          <w:sz w:val="36"/>
          <w:szCs w:val="36"/>
        </w:rPr>
      </w:pPr>
      <w:r w:rsidRPr="00686B43">
        <w:rPr>
          <w:rFonts w:ascii="Times New Roman" w:hAnsi="Times New Roman" w:cs="Times New Roman"/>
          <w:i/>
          <w:sz w:val="36"/>
          <w:szCs w:val="36"/>
        </w:rPr>
        <w:lastRenderedPageBreak/>
        <w:t>Table of Content</w:t>
      </w:r>
    </w:p>
    <w:p w:rsidR="006D0954" w:rsidRPr="006E4CD4" w:rsidRDefault="006D0954" w:rsidP="006D0954">
      <w:pPr>
        <w:jc w:val="both"/>
        <w:rPr>
          <w:rFonts w:ascii="Times New Roman" w:hAnsi="Times New Roman" w:cs="Times New Roman"/>
          <w:sz w:val="24"/>
          <w:szCs w:val="24"/>
        </w:rPr>
      </w:pPr>
      <w:r>
        <w:rPr>
          <w:rFonts w:ascii="Times New Roman" w:hAnsi="Times New Roman" w:cs="Times New Roman"/>
          <w:sz w:val="24"/>
          <w:szCs w:val="24"/>
        </w:rPr>
        <w:t>Abstract……………………………………………………………………………………..…</w:t>
      </w:r>
      <w:r w:rsidR="001A1915">
        <w:rPr>
          <w:rFonts w:ascii="Times New Roman" w:hAnsi="Times New Roman" w:cs="Times New Roman"/>
          <w:sz w:val="24"/>
          <w:szCs w:val="24"/>
        </w:rPr>
        <w:t>4</w:t>
      </w:r>
    </w:p>
    <w:p w:rsidR="006D0954" w:rsidRDefault="006D0954" w:rsidP="006D0954">
      <w:pPr>
        <w:ind w:firstLine="630"/>
        <w:jc w:val="both"/>
        <w:rPr>
          <w:rFonts w:ascii="Times New Roman" w:hAnsi="Times New Roman" w:cs="Times New Roman"/>
          <w:i/>
          <w:sz w:val="32"/>
          <w:szCs w:val="32"/>
        </w:rPr>
      </w:pPr>
    </w:p>
    <w:p w:rsidR="006D0954" w:rsidRPr="00D4272C" w:rsidRDefault="006D0954" w:rsidP="006D0954">
      <w:pPr>
        <w:ind w:firstLine="630"/>
        <w:jc w:val="both"/>
        <w:rPr>
          <w:rFonts w:ascii="Times New Roman" w:hAnsi="Times New Roman" w:cs="Times New Roman"/>
          <w:i/>
          <w:sz w:val="32"/>
          <w:szCs w:val="32"/>
        </w:rPr>
      </w:pPr>
      <w:r>
        <w:rPr>
          <w:rFonts w:ascii="Times New Roman" w:hAnsi="Times New Roman" w:cs="Times New Roman"/>
          <w:i/>
          <w:sz w:val="32"/>
          <w:szCs w:val="32"/>
        </w:rPr>
        <w:t>Chapter 1: Introduction</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Motivation…………………………………………………………………………………</w:t>
      </w:r>
      <w:r w:rsidR="001A1915">
        <w:rPr>
          <w:rFonts w:ascii="Times New Roman" w:hAnsi="Times New Roman" w:cs="Times New Roman"/>
          <w:sz w:val="24"/>
          <w:szCs w:val="24"/>
        </w:rPr>
        <w:t>…..5</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Mining Sector……………………………………………………………………………</w:t>
      </w:r>
      <w:r w:rsidR="001A1915">
        <w:rPr>
          <w:rFonts w:ascii="Times New Roman" w:hAnsi="Times New Roman" w:cs="Times New Roman"/>
          <w:sz w:val="24"/>
          <w:szCs w:val="24"/>
        </w:rPr>
        <w:t>…….5</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Literature Review……</w:t>
      </w:r>
      <w:r w:rsidR="001A1915">
        <w:rPr>
          <w:rFonts w:ascii="Times New Roman" w:hAnsi="Times New Roman" w:cs="Times New Roman"/>
          <w:sz w:val="24"/>
          <w:szCs w:val="24"/>
        </w:rPr>
        <w:t>………………………………………………………………………...7</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Data and Methodology</w:t>
      </w:r>
      <w:r w:rsidR="001A1915">
        <w:rPr>
          <w:rFonts w:ascii="Times New Roman" w:hAnsi="Times New Roman" w:cs="Times New Roman"/>
          <w:sz w:val="24"/>
          <w:szCs w:val="24"/>
        </w:rPr>
        <w:t>……………………………………………………………………….11</w:t>
      </w:r>
    </w:p>
    <w:p w:rsidR="006D0954" w:rsidRDefault="006D0954" w:rsidP="006D0954">
      <w:pPr>
        <w:ind w:firstLine="630"/>
        <w:jc w:val="both"/>
        <w:rPr>
          <w:rFonts w:ascii="Times New Roman" w:hAnsi="Times New Roman" w:cs="Times New Roman"/>
          <w:i/>
          <w:sz w:val="32"/>
          <w:szCs w:val="32"/>
        </w:rPr>
      </w:pPr>
    </w:p>
    <w:p w:rsidR="006D0954" w:rsidRPr="00D4272C" w:rsidRDefault="006D0954" w:rsidP="006D0954">
      <w:pPr>
        <w:ind w:firstLine="630"/>
        <w:jc w:val="both"/>
        <w:rPr>
          <w:rFonts w:ascii="Times New Roman" w:hAnsi="Times New Roman" w:cs="Times New Roman"/>
          <w:i/>
          <w:sz w:val="32"/>
          <w:szCs w:val="32"/>
        </w:rPr>
      </w:pPr>
      <w:r w:rsidRPr="00D4272C">
        <w:rPr>
          <w:rFonts w:ascii="Times New Roman" w:hAnsi="Times New Roman" w:cs="Times New Roman"/>
          <w:i/>
          <w:sz w:val="32"/>
          <w:szCs w:val="32"/>
        </w:rPr>
        <w:t>Chapter 2</w:t>
      </w:r>
      <w:r>
        <w:rPr>
          <w:rFonts w:ascii="Times New Roman" w:hAnsi="Times New Roman" w:cs="Times New Roman"/>
          <w:i/>
          <w:sz w:val="32"/>
          <w:szCs w:val="32"/>
        </w:rPr>
        <w:t>: Diagnostic Analysis</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Step 1. RER Trends…</w:t>
      </w:r>
      <w:r w:rsidR="001A1915">
        <w:rPr>
          <w:rFonts w:ascii="Times New Roman" w:hAnsi="Times New Roman" w:cs="Times New Roman"/>
          <w:sz w:val="24"/>
          <w:szCs w:val="24"/>
        </w:rPr>
        <w:t>………………………………………………………………………..12</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Step 2. Inflation……………………………………………………………………………</w:t>
      </w:r>
      <w:r w:rsidR="001A1915">
        <w:rPr>
          <w:rFonts w:ascii="Times New Roman" w:hAnsi="Times New Roman" w:cs="Times New Roman"/>
          <w:sz w:val="24"/>
          <w:szCs w:val="24"/>
        </w:rPr>
        <w:t>…15</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Step 3. Manufacturing Sector…………………………………………………………</w:t>
      </w:r>
      <w:r w:rsidR="001A1915">
        <w:rPr>
          <w:rFonts w:ascii="Times New Roman" w:hAnsi="Times New Roman" w:cs="Times New Roman"/>
          <w:sz w:val="24"/>
          <w:szCs w:val="24"/>
        </w:rPr>
        <w:t>……...17</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Step 4. Labour Shifts………………………………………………………………………</w:t>
      </w:r>
      <w:r w:rsidR="001A1915">
        <w:rPr>
          <w:rFonts w:ascii="Times New Roman" w:hAnsi="Times New Roman" w:cs="Times New Roman"/>
          <w:sz w:val="24"/>
          <w:szCs w:val="24"/>
        </w:rPr>
        <w:t>…20</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Step 5. Mining Contribution……………………………………………………</w:t>
      </w:r>
      <w:r w:rsidR="001A1915">
        <w:rPr>
          <w:rFonts w:ascii="Times New Roman" w:hAnsi="Times New Roman" w:cs="Times New Roman"/>
          <w:sz w:val="24"/>
          <w:szCs w:val="24"/>
        </w:rPr>
        <w:t>…………….22</w:t>
      </w:r>
    </w:p>
    <w:p w:rsidR="006D0954" w:rsidRPr="00BB2CAB" w:rsidRDefault="006D0954" w:rsidP="006D0954">
      <w:pPr>
        <w:jc w:val="both"/>
        <w:rPr>
          <w:rFonts w:ascii="Times New Roman" w:hAnsi="Times New Roman" w:cs="Times New Roman"/>
          <w:sz w:val="32"/>
          <w:szCs w:val="32"/>
        </w:rPr>
      </w:pPr>
    </w:p>
    <w:p w:rsidR="006D0954" w:rsidRPr="00703A37" w:rsidRDefault="006D0954" w:rsidP="006D0954">
      <w:pPr>
        <w:ind w:firstLine="630"/>
        <w:jc w:val="both"/>
        <w:rPr>
          <w:rFonts w:ascii="Times New Roman" w:hAnsi="Times New Roman" w:cs="Times New Roman"/>
          <w:i/>
          <w:sz w:val="32"/>
          <w:szCs w:val="32"/>
        </w:rPr>
      </w:pPr>
      <w:r w:rsidRPr="00703A37">
        <w:rPr>
          <w:rFonts w:ascii="Times New Roman" w:hAnsi="Times New Roman" w:cs="Times New Roman"/>
          <w:i/>
          <w:sz w:val="32"/>
          <w:szCs w:val="32"/>
        </w:rPr>
        <w:t>Chapter 3</w:t>
      </w:r>
      <w:r>
        <w:rPr>
          <w:rFonts w:ascii="Times New Roman" w:hAnsi="Times New Roman" w:cs="Times New Roman"/>
          <w:i/>
          <w:sz w:val="32"/>
          <w:szCs w:val="32"/>
        </w:rPr>
        <w:t>: Empirical Analysis</w:t>
      </w:r>
    </w:p>
    <w:p w:rsidR="001B0D4F" w:rsidRDefault="001B0D4F" w:rsidP="006D0954">
      <w:pPr>
        <w:jc w:val="both"/>
        <w:rPr>
          <w:rFonts w:ascii="Times New Roman" w:hAnsi="Times New Roman" w:cs="Times New Roman"/>
          <w:sz w:val="24"/>
          <w:szCs w:val="24"/>
        </w:rPr>
      </w:pPr>
      <w:r>
        <w:rPr>
          <w:rFonts w:ascii="Times New Roman" w:hAnsi="Times New Roman" w:cs="Times New Roman"/>
          <w:sz w:val="24"/>
          <w:szCs w:val="24"/>
        </w:rPr>
        <w:t>VEC Model…...………………………………………………………………………………</w:t>
      </w:r>
      <w:r w:rsidR="001A1915">
        <w:rPr>
          <w:rFonts w:ascii="Times New Roman" w:hAnsi="Times New Roman" w:cs="Times New Roman"/>
          <w:sz w:val="24"/>
          <w:szCs w:val="24"/>
        </w:rPr>
        <w:t>28</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Discussions and Limitations…………………………………………………………….……</w:t>
      </w:r>
      <w:r w:rsidR="001A1915">
        <w:rPr>
          <w:rFonts w:ascii="Times New Roman" w:hAnsi="Times New Roman" w:cs="Times New Roman"/>
          <w:sz w:val="24"/>
          <w:szCs w:val="24"/>
        </w:rPr>
        <w:t>34</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Concluding Remarks…………………………………………………………………………</w:t>
      </w:r>
      <w:r w:rsidR="001A1915">
        <w:rPr>
          <w:rFonts w:ascii="Times New Roman" w:hAnsi="Times New Roman" w:cs="Times New Roman"/>
          <w:sz w:val="24"/>
          <w:szCs w:val="24"/>
        </w:rPr>
        <w:t>37</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References……………………………………………………………………………...…….</w:t>
      </w:r>
      <w:r w:rsidR="001A1915">
        <w:rPr>
          <w:rFonts w:ascii="Times New Roman" w:hAnsi="Times New Roman" w:cs="Times New Roman"/>
          <w:sz w:val="24"/>
          <w:szCs w:val="24"/>
        </w:rPr>
        <w:t>38</w:t>
      </w:r>
    </w:p>
    <w:p w:rsidR="006D0954" w:rsidRDefault="006D0954" w:rsidP="006D0954">
      <w:pPr>
        <w:jc w:val="both"/>
        <w:rPr>
          <w:rFonts w:ascii="Times New Roman" w:hAnsi="Times New Roman" w:cs="Times New Roman"/>
          <w:sz w:val="24"/>
          <w:szCs w:val="24"/>
        </w:rPr>
      </w:pPr>
      <w:r>
        <w:rPr>
          <w:rFonts w:ascii="Times New Roman" w:hAnsi="Times New Roman" w:cs="Times New Roman"/>
          <w:sz w:val="24"/>
          <w:szCs w:val="24"/>
        </w:rPr>
        <w:t>Appendix……………………………………………………………………………………..</w:t>
      </w:r>
      <w:r w:rsidR="001A1915">
        <w:rPr>
          <w:rFonts w:ascii="Times New Roman" w:hAnsi="Times New Roman" w:cs="Times New Roman"/>
          <w:sz w:val="24"/>
          <w:szCs w:val="24"/>
        </w:rPr>
        <w:t>40</w:t>
      </w:r>
    </w:p>
    <w:p w:rsidR="006D0954" w:rsidRDefault="006D0954" w:rsidP="006D0954">
      <w:pPr>
        <w:jc w:val="center"/>
        <w:rPr>
          <w:rFonts w:ascii="Times New Roman" w:hAnsi="Times New Roman" w:cs="Times New Roman"/>
          <w:sz w:val="24"/>
          <w:szCs w:val="24"/>
        </w:rPr>
      </w:pPr>
    </w:p>
    <w:p w:rsidR="009339E1" w:rsidRDefault="009339E1" w:rsidP="006D0954">
      <w:pPr>
        <w:jc w:val="center"/>
        <w:rPr>
          <w:rFonts w:ascii="Times New Roman" w:hAnsi="Times New Roman" w:cs="Times New Roman"/>
          <w:sz w:val="24"/>
          <w:szCs w:val="24"/>
        </w:rPr>
      </w:pPr>
    </w:p>
    <w:p w:rsidR="006D0954" w:rsidRDefault="006D0954" w:rsidP="006D0954">
      <w:pPr>
        <w:jc w:val="center"/>
        <w:rPr>
          <w:rFonts w:ascii="Times New Roman" w:hAnsi="Times New Roman" w:cs="Times New Roman"/>
          <w:i/>
          <w:sz w:val="32"/>
          <w:szCs w:val="32"/>
        </w:rPr>
      </w:pPr>
    </w:p>
    <w:p w:rsidR="006D0954" w:rsidRPr="00686B43" w:rsidRDefault="006D0954" w:rsidP="006D0954">
      <w:pPr>
        <w:jc w:val="center"/>
        <w:rPr>
          <w:rFonts w:ascii="Times New Roman" w:hAnsi="Times New Roman" w:cs="Times New Roman"/>
          <w:i/>
          <w:sz w:val="32"/>
          <w:szCs w:val="32"/>
        </w:rPr>
      </w:pPr>
      <w:r w:rsidRPr="00686B43">
        <w:rPr>
          <w:rFonts w:ascii="Times New Roman" w:hAnsi="Times New Roman" w:cs="Times New Roman"/>
          <w:i/>
          <w:sz w:val="32"/>
          <w:szCs w:val="32"/>
        </w:rPr>
        <w:lastRenderedPageBreak/>
        <w:t>Tables and Figures</w:t>
      </w:r>
    </w:p>
    <w:p w:rsidR="006D0954" w:rsidRDefault="006D0954" w:rsidP="006D0954">
      <w:pPr>
        <w:spacing w:after="0" w:line="480" w:lineRule="auto"/>
        <w:jc w:val="both"/>
        <w:rPr>
          <w:rFonts w:ascii="Times New Roman" w:hAnsi="Times New Roman" w:cs="Times New Roman"/>
          <w:sz w:val="36"/>
          <w:szCs w:val="36"/>
        </w:rPr>
      </w:pP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1: Core Inflati</w:t>
      </w:r>
      <w:r w:rsidR="000B715A">
        <w:rPr>
          <w:rFonts w:ascii="Times New Roman" w:hAnsi="Times New Roman" w:cs="Times New Roman"/>
          <w:sz w:val="24"/>
          <w:szCs w:val="24"/>
        </w:rPr>
        <w:t>on……………………………………………………………………….15</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2: Products as Percentage o</w:t>
      </w:r>
      <w:r w:rsidR="000B715A">
        <w:rPr>
          <w:rFonts w:ascii="Times New Roman" w:hAnsi="Times New Roman" w:cs="Times New Roman"/>
          <w:sz w:val="24"/>
          <w:szCs w:val="24"/>
        </w:rPr>
        <w:t>f Export…………………………………………………...19</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3: Variable Statistics for Empirical Analysis …………………………..</w:t>
      </w:r>
      <w:r w:rsidR="000B715A">
        <w:rPr>
          <w:rFonts w:ascii="Times New Roman" w:hAnsi="Times New Roman" w:cs="Times New Roman"/>
          <w:sz w:val="24"/>
          <w:szCs w:val="24"/>
        </w:rPr>
        <w:t>……………..29</w:t>
      </w:r>
    </w:p>
    <w:p w:rsidR="006D0954" w:rsidRDefault="001B0D4F"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4: Empirical Analysis</w:t>
      </w:r>
      <w:r w:rsidR="00DF7345">
        <w:rPr>
          <w:rFonts w:ascii="Times New Roman" w:hAnsi="Times New Roman" w:cs="Times New Roman"/>
          <w:sz w:val="24"/>
          <w:szCs w:val="24"/>
        </w:rPr>
        <w:t>. Models 1-3</w:t>
      </w:r>
      <w:r w:rsidR="000B715A">
        <w:rPr>
          <w:rFonts w:ascii="Times New Roman" w:hAnsi="Times New Roman" w:cs="Times New Roman"/>
          <w:sz w:val="24"/>
          <w:szCs w:val="24"/>
        </w:rPr>
        <w:t>……………………………………………</w:t>
      </w:r>
      <w:r w:rsidR="00DF7345">
        <w:rPr>
          <w:rFonts w:ascii="Times New Roman" w:hAnsi="Times New Roman" w:cs="Times New Roman"/>
          <w:sz w:val="24"/>
          <w:szCs w:val="24"/>
        </w:rPr>
        <w:t>..</w:t>
      </w:r>
      <w:r w:rsidR="000B715A">
        <w:rPr>
          <w:rFonts w:ascii="Times New Roman" w:hAnsi="Times New Roman" w:cs="Times New Roman"/>
          <w:sz w:val="24"/>
          <w:szCs w:val="24"/>
        </w:rPr>
        <w:t>……...30</w:t>
      </w:r>
    </w:p>
    <w:p w:rsidR="00DF7345" w:rsidRDefault="00DF7345" w:rsidP="00DF734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5: Empirical Analysis. Models 4-5………………………………………………..…...32</w:t>
      </w:r>
    </w:p>
    <w:p w:rsidR="00DF7345" w:rsidRDefault="00DF7345" w:rsidP="006D0954">
      <w:pPr>
        <w:spacing w:after="0" w:line="480" w:lineRule="auto"/>
        <w:jc w:val="both"/>
        <w:rPr>
          <w:rFonts w:ascii="Times New Roman" w:hAnsi="Times New Roman" w:cs="Times New Roman"/>
          <w:sz w:val="24"/>
          <w:szCs w:val="24"/>
        </w:rPr>
      </w:pPr>
    </w:p>
    <w:p w:rsidR="006D0954" w:rsidRDefault="006D0954" w:rsidP="006D0954">
      <w:pPr>
        <w:spacing w:after="0" w:line="480" w:lineRule="auto"/>
        <w:jc w:val="both"/>
        <w:rPr>
          <w:rFonts w:ascii="Times New Roman" w:hAnsi="Times New Roman" w:cs="Times New Roman"/>
          <w:sz w:val="24"/>
          <w:szCs w:val="24"/>
        </w:rPr>
      </w:pP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r w:rsidRPr="00724122">
        <w:rPr>
          <w:rFonts w:ascii="Times New Roman" w:hAnsi="Times New Roman" w:cs="Times New Roman"/>
          <w:sz w:val="24"/>
          <w:szCs w:val="24"/>
        </w:rPr>
        <w:t>Rybczynski</w:t>
      </w:r>
      <w:r>
        <w:rPr>
          <w:rFonts w:ascii="Times New Roman" w:hAnsi="Times New Roman" w:cs="Times New Roman"/>
          <w:sz w:val="24"/>
          <w:szCs w:val="24"/>
        </w:rPr>
        <w:t xml:space="preserve"> Theorem Illustration……………………………………………………</w:t>
      </w:r>
      <w:r w:rsidR="000B715A">
        <w:rPr>
          <w:rFonts w:ascii="Times New Roman" w:hAnsi="Times New Roman" w:cs="Times New Roman"/>
          <w:sz w:val="24"/>
          <w:szCs w:val="24"/>
        </w:rPr>
        <w:t>9</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 Real Effective Exchange Rate in RA………………………..…………………</w:t>
      </w:r>
      <w:r w:rsidR="000B715A">
        <w:rPr>
          <w:rFonts w:ascii="Times New Roman" w:hAnsi="Times New Roman" w:cs="Times New Roman"/>
          <w:sz w:val="24"/>
          <w:szCs w:val="24"/>
        </w:rPr>
        <w:t>…..13</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3: FDI into RA USD………………………………………………………………</w:t>
      </w:r>
      <w:r w:rsidR="000B715A">
        <w:rPr>
          <w:rFonts w:ascii="Times New Roman" w:hAnsi="Times New Roman" w:cs="Times New Roman"/>
          <w:sz w:val="24"/>
          <w:szCs w:val="24"/>
        </w:rPr>
        <w:t>….14</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4: FDI &amp; Inflation </w:t>
      </w:r>
      <w:r w:rsidR="000B715A">
        <w:rPr>
          <w:rFonts w:ascii="Times New Roman" w:hAnsi="Times New Roman" w:cs="Times New Roman"/>
          <w:sz w:val="24"/>
          <w:szCs w:val="24"/>
        </w:rPr>
        <w:t>Trends…………………………………………………………….15</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5: Monthly Core Inf</w:t>
      </w:r>
      <w:r w:rsidR="000B715A">
        <w:rPr>
          <w:rFonts w:ascii="Times New Roman" w:hAnsi="Times New Roman" w:cs="Times New Roman"/>
          <w:sz w:val="24"/>
          <w:szCs w:val="24"/>
        </w:rPr>
        <w:t>lation…………………………………………………………….16</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6: Manufacturing, Valu</w:t>
      </w:r>
      <w:r w:rsidR="000B715A">
        <w:rPr>
          <w:rFonts w:ascii="Times New Roman" w:hAnsi="Times New Roman" w:cs="Times New Roman"/>
          <w:sz w:val="24"/>
          <w:szCs w:val="24"/>
        </w:rPr>
        <w:t>e Added……………………………………………………...17</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7: Density of Employees on a</w:t>
      </w:r>
      <w:r w:rsidR="000B715A">
        <w:rPr>
          <w:rFonts w:ascii="Times New Roman" w:hAnsi="Times New Roman" w:cs="Times New Roman"/>
          <w:sz w:val="24"/>
          <w:szCs w:val="24"/>
        </w:rPr>
        <w:t xml:space="preserve"> Given Salary………………………………………….21</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 8: Mining Production and </w:t>
      </w:r>
      <w:r w:rsidR="000B715A">
        <w:rPr>
          <w:rFonts w:ascii="Times New Roman" w:hAnsi="Times New Roman" w:cs="Times New Roman"/>
          <w:sz w:val="24"/>
          <w:szCs w:val="24"/>
        </w:rPr>
        <w:t>Shares of GDP……………………………………………22</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9: Sector’s Contribution t</w:t>
      </w:r>
      <w:r w:rsidR="000B715A">
        <w:rPr>
          <w:rFonts w:ascii="Times New Roman" w:hAnsi="Times New Roman" w:cs="Times New Roman"/>
          <w:sz w:val="24"/>
          <w:szCs w:val="24"/>
        </w:rPr>
        <w:t>o Industry …………………………………………………23</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10: Employment by Se</w:t>
      </w:r>
      <w:r w:rsidR="000B715A">
        <w:rPr>
          <w:rFonts w:ascii="Times New Roman" w:hAnsi="Times New Roman" w:cs="Times New Roman"/>
          <w:sz w:val="24"/>
          <w:szCs w:val="24"/>
        </w:rPr>
        <w:t>ctor…………………………………………………………....24</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11: FDI into Sectors in 201</w:t>
      </w:r>
      <w:r w:rsidR="000B715A">
        <w:rPr>
          <w:rFonts w:ascii="Times New Roman" w:hAnsi="Times New Roman" w:cs="Times New Roman"/>
          <w:sz w:val="24"/>
          <w:szCs w:val="24"/>
        </w:rPr>
        <w:t>2....……………………………………………...…….….25</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12: Remittances and G</w:t>
      </w:r>
      <w:r w:rsidR="000B715A">
        <w:rPr>
          <w:rFonts w:ascii="Times New Roman" w:hAnsi="Times New Roman" w:cs="Times New Roman"/>
          <w:sz w:val="24"/>
          <w:szCs w:val="24"/>
        </w:rPr>
        <w:t>DP growth……………………………………………….……26</w:t>
      </w:r>
    </w:p>
    <w:p w:rsidR="006D0954" w:rsidRDefault="006D0954" w:rsidP="006D095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13: Mining Production and</w:t>
      </w:r>
      <w:r w:rsidR="000B715A">
        <w:rPr>
          <w:rFonts w:ascii="Times New Roman" w:hAnsi="Times New Roman" w:cs="Times New Roman"/>
          <w:sz w:val="24"/>
          <w:szCs w:val="24"/>
        </w:rPr>
        <w:t xml:space="preserve"> GDP growth……………………………………………..26</w:t>
      </w:r>
    </w:p>
    <w:p w:rsidR="006D0954" w:rsidRDefault="006D0954" w:rsidP="006D0954">
      <w:pPr>
        <w:spacing w:after="0" w:line="480" w:lineRule="auto"/>
        <w:jc w:val="both"/>
        <w:rPr>
          <w:rFonts w:ascii="Times New Roman" w:hAnsi="Times New Roman" w:cs="Times New Roman"/>
          <w:sz w:val="24"/>
          <w:szCs w:val="24"/>
        </w:rPr>
      </w:pPr>
    </w:p>
    <w:p w:rsidR="006D0954" w:rsidRDefault="006D0954" w:rsidP="006D0954">
      <w:pPr>
        <w:spacing w:after="0" w:line="480" w:lineRule="auto"/>
        <w:jc w:val="both"/>
        <w:rPr>
          <w:rFonts w:ascii="Times New Roman" w:hAnsi="Times New Roman" w:cs="Times New Roman"/>
          <w:sz w:val="24"/>
          <w:szCs w:val="24"/>
        </w:rPr>
      </w:pPr>
    </w:p>
    <w:p w:rsidR="006D0954" w:rsidRDefault="006D0954" w:rsidP="006D0954">
      <w:pPr>
        <w:rPr>
          <w:rFonts w:ascii="Times New Roman" w:hAnsi="Times New Roman" w:cs="Times New Roman"/>
          <w:sz w:val="24"/>
          <w:szCs w:val="24"/>
        </w:rPr>
      </w:pPr>
    </w:p>
    <w:p w:rsidR="006D0954" w:rsidRDefault="006D0954" w:rsidP="006D0954">
      <w:pPr>
        <w:rPr>
          <w:rFonts w:ascii="Times New Roman" w:hAnsi="Times New Roman" w:cs="Times New Roman"/>
          <w:sz w:val="24"/>
          <w:szCs w:val="24"/>
        </w:rPr>
      </w:pPr>
    </w:p>
    <w:p w:rsidR="006D0954" w:rsidRPr="00686B43" w:rsidRDefault="006D0954" w:rsidP="006D0954">
      <w:pPr>
        <w:pStyle w:val="NormalWeb"/>
        <w:shd w:val="clear" w:color="auto" w:fill="FFFFFF"/>
        <w:spacing w:before="0" w:beforeAutospacing="0" w:after="0" w:afterAutospacing="0" w:line="480" w:lineRule="auto"/>
        <w:ind w:firstLine="540"/>
        <w:jc w:val="center"/>
        <w:rPr>
          <w:i/>
          <w:color w:val="000000"/>
          <w:sz w:val="32"/>
          <w:szCs w:val="32"/>
        </w:rPr>
      </w:pPr>
      <w:r w:rsidRPr="00686B43">
        <w:rPr>
          <w:i/>
          <w:color w:val="000000"/>
          <w:sz w:val="32"/>
          <w:szCs w:val="32"/>
        </w:rPr>
        <w:t>Abbreviation</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DD                    Dutch Disease</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RER                   Real Exchange rate</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REER                 Real Effective Exchange rate</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NEER                 Nominal Effective Exchange rate</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NSSRA             National Statistics Service of Republic of Armenia</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CBA                  Central Bank of Armenia</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VECM               Vector Error Correction Model</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OLS                   Ordinary Least Squares</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GIA                    Governmental Investment in Assets</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NFA                   Net Foreign Assets</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DL (</w:t>
      </w:r>
      <w:r>
        <w:rPr>
          <w:rFonts w:ascii="Book Antiqua" w:hAnsi="Book Antiqua"/>
          <w:color w:val="000000"/>
        </w:rPr>
        <w:t>∆L</w:t>
      </w:r>
      <w:r>
        <w:rPr>
          <w:color w:val="000000"/>
        </w:rPr>
        <w:t>)              Lagged Difference</w:t>
      </w:r>
    </w:p>
    <w:p w:rsidR="006D0954" w:rsidRDefault="006D0954" w:rsidP="006D0954">
      <w:pPr>
        <w:pStyle w:val="NormalWeb"/>
        <w:shd w:val="clear" w:color="auto" w:fill="FFFFFF"/>
        <w:spacing w:before="0" w:beforeAutospacing="0" w:after="0" w:afterAutospacing="0" w:line="480" w:lineRule="auto"/>
        <w:ind w:firstLine="540"/>
        <w:jc w:val="both"/>
        <w:rPr>
          <w:color w:val="000000"/>
        </w:rPr>
      </w:pPr>
      <w:r>
        <w:rPr>
          <w:color w:val="000000"/>
        </w:rPr>
        <w:t xml:space="preserve">HO                     </w:t>
      </w:r>
      <w:r w:rsidRPr="00D81E57">
        <w:rPr>
          <w:color w:val="000000"/>
        </w:rPr>
        <w:t>Heckscher–Ohlin</w:t>
      </w:r>
      <w:r>
        <w:rPr>
          <w:color w:val="000000"/>
        </w:rPr>
        <w:t xml:space="preserve"> model</w:t>
      </w:r>
    </w:p>
    <w:p w:rsidR="006D0954" w:rsidRDefault="006D0954" w:rsidP="006D0954">
      <w:pPr>
        <w:spacing w:after="0" w:line="480" w:lineRule="auto"/>
        <w:jc w:val="both"/>
        <w:rPr>
          <w:rFonts w:ascii="Times New Roman" w:hAnsi="Times New Roman" w:cs="Times New Roman"/>
          <w:b/>
          <w:sz w:val="24"/>
          <w:szCs w:val="24"/>
        </w:rPr>
      </w:pPr>
    </w:p>
    <w:p w:rsidR="006D0954" w:rsidRDefault="006D0954" w:rsidP="006D0954">
      <w:pPr>
        <w:rPr>
          <w:rFonts w:ascii="Times New Roman" w:hAnsi="Times New Roman" w:cs="Times New Roman"/>
          <w:b/>
          <w:sz w:val="24"/>
          <w:szCs w:val="24"/>
        </w:rPr>
      </w:pPr>
      <w:r>
        <w:rPr>
          <w:rFonts w:ascii="Times New Roman" w:hAnsi="Times New Roman" w:cs="Times New Roman"/>
          <w:b/>
          <w:sz w:val="24"/>
          <w:szCs w:val="24"/>
        </w:rPr>
        <w:br w:type="page"/>
      </w:r>
    </w:p>
    <w:p w:rsidR="006D0954" w:rsidRDefault="006D0954">
      <w:pPr>
        <w:rPr>
          <w:rFonts w:ascii="Times New Roman" w:eastAsia="Times New Roman" w:hAnsi="Times New Roman" w:cs="Times New Roman"/>
          <w:i/>
          <w:color w:val="000000"/>
          <w:sz w:val="28"/>
          <w:szCs w:val="28"/>
          <w:u w:val="single"/>
        </w:rPr>
      </w:pPr>
    </w:p>
    <w:p w:rsidR="00944FA5" w:rsidRDefault="00944FA5" w:rsidP="00D92F97">
      <w:pPr>
        <w:pStyle w:val="NormalWeb"/>
        <w:shd w:val="clear" w:color="auto" w:fill="FFFFFF"/>
        <w:spacing w:before="0" w:beforeAutospacing="0" w:after="0" w:afterAutospacing="0" w:line="480" w:lineRule="auto"/>
        <w:jc w:val="both"/>
        <w:rPr>
          <w:i/>
          <w:color w:val="000000"/>
          <w:sz w:val="28"/>
          <w:szCs w:val="28"/>
          <w:u w:val="single"/>
        </w:rPr>
      </w:pPr>
    </w:p>
    <w:p w:rsidR="00DC7994" w:rsidRPr="008E3213" w:rsidRDefault="00DC7994" w:rsidP="0004255F">
      <w:pPr>
        <w:pStyle w:val="NormalWeb"/>
        <w:shd w:val="clear" w:color="auto" w:fill="FFFFFF"/>
        <w:spacing w:before="0" w:beforeAutospacing="0" w:after="0" w:afterAutospacing="0" w:line="480" w:lineRule="auto"/>
        <w:ind w:firstLine="540"/>
        <w:jc w:val="both"/>
        <w:rPr>
          <w:i/>
          <w:color w:val="000000"/>
          <w:sz w:val="28"/>
          <w:szCs w:val="28"/>
        </w:rPr>
      </w:pPr>
      <w:r w:rsidRPr="008E3213">
        <w:rPr>
          <w:i/>
          <w:color w:val="000000"/>
          <w:sz w:val="28"/>
          <w:szCs w:val="28"/>
          <w:u w:val="single"/>
        </w:rPr>
        <w:t>Abstract</w:t>
      </w:r>
    </w:p>
    <w:p w:rsidR="004926F2" w:rsidRDefault="00DC7994" w:rsidP="00DE7930">
      <w:pPr>
        <w:pStyle w:val="NormalWeb"/>
        <w:shd w:val="clear" w:color="auto" w:fill="FFFFFF"/>
        <w:spacing w:before="0" w:beforeAutospacing="0" w:after="0" w:afterAutospacing="0" w:line="480" w:lineRule="auto"/>
        <w:ind w:firstLine="540"/>
        <w:jc w:val="both"/>
        <w:rPr>
          <w:color w:val="000000"/>
        </w:rPr>
      </w:pPr>
      <w:r w:rsidRPr="00DE7930">
        <w:rPr>
          <w:color w:val="000000"/>
        </w:rPr>
        <w:t>Armenia is a country rich with min</w:t>
      </w:r>
      <w:r w:rsidR="00F172C4">
        <w:rPr>
          <w:color w:val="000000"/>
        </w:rPr>
        <w:t>eral resources, making mining a</w:t>
      </w:r>
      <w:r w:rsidRPr="00DE7930">
        <w:rPr>
          <w:color w:val="000000"/>
        </w:rPr>
        <w:t xml:space="preserve"> significant sector for the country’s economy.</w:t>
      </w:r>
      <w:r w:rsidR="00210C67">
        <w:rPr>
          <w:color w:val="000000"/>
        </w:rPr>
        <w:t xml:space="preserve"> The natural resources </w:t>
      </w:r>
      <w:r w:rsidR="00F172C4">
        <w:rPr>
          <w:color w:val="000000"/>
        </w:rPr>
        <w:t>produce an average annual</w:t>
      </w:r>
      <w:r w:rsidR="004926F2">
        <w:rPr>
          <w:color w:val="000000"/>
        </w:rPr>
        <w:t xml:space="preserve"> value of</w:t>
      </w:r>
      <w:r w:rsidR="00210C67">
        <w:rPr>
          <w:color w:val="000000"/>
        </w:rPr>
        <w:t xml:space="preserve"> </w:t>
      </w:r>
      <w:r w:rsidR="00F172C4" w:rsidRPr="00FD22A0">
        <w:rPr>
          <w:color w:val="000000"/>
        </w:rPr>
        <w:t>15370</w:t>
      </w:r>
      <w:r w:rsidR="00210C67" w:rsidRPr="004926F2">
        <w:rPr>
          <w:color w:val="000000"/>
        </w:rPr>
        <w:t xml:space="preserve"> million</w:t>
      </w:r>
      <w:r w:rsidR="00F172C4">
        <w:rPr>
          <w:color w:val="000000"/>
        </w:rPr>
        <w:t xml:space="preserve"> AMD of mining contribution to the GDP</w:t>
      </w:r>
      <w:r w:rsidR="00BE7CBF">
        <w:rPr>
          <w:color w:val="000000"/>
        </w:rPr>
        <w:t>,</w:t>
      </w:r>
      <w:r w:rsidR="00210C67">
        <w:rPr>
          <w:color w:val="000000"/>
        </w:rPr>
        <w:t xml:space="preserve"> </w:t>
      </w:r>
      <w:r w:rsidR="004926F2">
        <w:rPr>
          <w:color w:val="000000"/>
        </w:rPr>
        <w:t>supplying 80% of the production</w:t>
      </w:r>
      <w:r w:rsidR="00BE7CBF">
        <w:rPr>
          <w:color w:val="000000"/>
        </w:rPr>
        <w:t xml:space="preserve"> to </w:t>
      </w:r>
      <w:r w:rsidR="004926F2">
        <w:rPr>
          <w:color w:val="000000"/>
        </w:rPr>
        <w:t>exports. Mining companies create job opportunities and improve infrastructure in provinces of Armenia.</w:t>
      </w:r>
      <w:r w:rsidR="00210C67">
        <w:rPr>
          <w:color w:val="000000"/>
        </w:rPr>
        <w:t xml:space="preserve"> </w:t>
      </w:r>
      <w:r w:rsidR="00210C67" w:rsidRPr="00DE7930">
        <w:rPr>
          <w:color w:val="000000"/>
        </w:rPr>
        <w:t>The</w:t>
      </w:r>
      <w:r w:rsidRPr="00DE7930">
        <w:rPr>
          <w:color w:val="000000"/>
        </w:rPr>
        <w:t xml:space="preserve"> sector’s contribution</w:t>
      </w:r>
      <w:r w:rsidR="00A7460A">
        <w:rPr>
          <w:color w:val="000000"/>
        </w:rPr>
        <w:t>, combined with a tendency of decline in the manufacturing sector and REER appreciation trends,</w:t>
      </w:r>
      <w:r w:rsidR="00583034">
        <w:rPr>
          <w:color w:val="000000"/>
        </w:rPr>
        <w:t xml:space="preserve"> puts Armenia under the threat of</w:t>
      </w:r>
      <w:r w:rsidRPr="00DE7930">
        <w:rPr>
          <w:color w:val="000000"/>
        </w:rPr>
        <w:t xml:space="preserve"> the Dutch Disease. </w:t>
      </w:r>
    </w:p>
    <w:p w:rsidR="00DC7994" w:rsidRPr="00DE7930" w:rsidRDefault="00DC7994" w:rsidP="00DE7930">
      <w:pPr>
        <w:pStyle w:val="NormalWeb"/>
        <w:shd w:val="clear" w:color="auto" w:fill="FFFFFF"/>
        <w:spacing w:before="0" w:beforeAutospacing="0" w:after="0" w:afterAutospacing="0" w:line="480" w:lineRule="auto"/>
        <w:ind w:firstLine="540"/>
        <w:jc w:val="both"/>
        <w:rPr>
          <w:color w:val="000000"/>
        </w:rPr>
      </w:pPr>
      <w:r w:rsidRPr="00DE7930">
        <w:rPr>
          <w:color w:val="000000"/>
        </w:rPr>
        <w:t>The</w:t>
      </w:r>
      <w:r w:rsidR="00A7460A">
        <w:rPr>
          <w:color w:val="000000"/>
        </w:rPr>
        <w:t xml:space="preserve"> aim of the</w:t>
      </w:r>
      <w:r w:rsidRPr="00DE7930">
        <w:rPr>
          <w:color w:val="000000"/>
        </w:rPr>
        <w:t xml:space="preserve"> paper is to diagnose whether the country suffers from this condition using data analysis </w:t>
      </w:r>
      <w:r w:rsidR="00A7460A">
        <w:rPr>
          <w:color w:val="000000"/>
        </w:rPr>
        <w:t>and</w:t>
      </w:r>
      <w:r w:rsidR="000C3AF7" w:rsidRPr="00DE7930">
        <w:rPr>
          <w:color w:val="000000"/>
        </w:rPr>
        <w:t xml:space="preserve"> empirical analysis</w:t>
      </w:r>
      <w:r w:rsidR="00A7460A">
        <w:rPr>
          <w:color w:val="000000"/>
        </w:rPr>
        <w:t xml:space="preserve"> conducted on recent data from 2000 to 2014</w:t>
      </w:r>
      <w:r w:rsidR="000C3AF7" w:rsidRPr="00DE7930">
        <w:rPr>
          <w:color w:val="000000"/>
        </w:rPr>
        <w:t xml:space="preserve">. </w:t>
      </w:r>
      <w:r w:rsidR="00A7460A">
        <w:rPr>
          <w:color w:val="000000"/>
        </w:rPr>
        <w:t>An overall analysis of the economic activity, a</w:t>
      </w:r>
      <w:r w:rsidR="000C3AF7" w:rsidRPr="00DE7930">
        <w:rPr>
          <w:color w:val="000000"/>
        </w:rPr>
        <w:t xml:space="preserve"> VEC</w:t>
      </w:r>
      <w:r w:rsidRPr="00DE7930">
        <w:rPr>
          <w:color w:val="000000"/>
        </w:rPr>
        <w:t xml:space="preserve"> regression model on </w:t>
      </w:r>
      <w:r w:rsidR="00A7460A">
        <w:rPr>
          <w:color w:val="000000"/>
        </w:rPr>
        <w:t xml:space="preserve">REER, </w:t>
      </w:r>
      <w:r w:rsidR="00E56BDD">
        <w:rPr>
          <w:color w:val="000000"/>
        </w:rPr>
        <w:t xml:space="preserve">mining production, copper prices, </w:t>
      </w:r>
      <w:r w:rsidRPr="00DE7930">
        <w:rPr>
          <w:color w:val="000000"/>
        </w:rPr>
        <w:t>remittances</w:t>
      </w:r>
      <w:r w:rsidR="00E56BDD">
        <w:rPr>
          <w:color w:val="000000"/>
        </w:rPr>
        <w:t xml:space="preserve"> inflow, </w:t>
      </w:r>
      <w:r w:rsidR="00E56BDD" w:rsidRPr="00DE7930">
        <w:rPr>
          <w:color w:val="000000"/>
        </w:rPr>
        <w:t>money supply</w:t>
      </w:r>
      <w:r w:rsidR="00E56BDD">
        <w:rPr>
          <w:color w:val="000000"/>
        </w:rPr>
        <w:t>, net exports, net foreign assets,</w:t>
      </w:r>
      <w:r w:rsidRPr="00DE7930">
        <w:rPr>
          <w:color w:val="000000"/>
        </w:rPr>
        <w:t xml:space="preserve"> </w:t>
      </w:r>
      <w:r w:rsidR="000C3AF7" w:rsidRPr="00DE7930">
        <w:rPr>
          <w:color w:val="000000"/>
        </w:rPr>
        <w:t>government investments</w:t>
      </w:r>
      <w:r w:rsidR="00E56BDD">
        <w:rPr>
          <w:color w:val="000000"/>
        </w:rPr>
        <w:t xml:space="preserve"> into assets</w:t>
      </w:r>
      <w:r w:rsidR="000C3AF7" w:rsidRPr="00DE7930">
        <w:rPr>
          <w:color w:val="000000"/>
        </w:rPr>
        <w:t xml:space="preserve"> </w:t>
      </w:r>
      <w:r w:rsidRPr="00DE7930">
        <w:rPr>
          <w:color w:val="000000"/>
        </w:rPr>
        <w:t>and</w:t>
      </w:r>
      <w:r w:rsidR="00A7460A">
        <w:rPr>
          <w:color w:val="000000"/>
        </w:rPr>
        <w:t xml:space="preserve"> other variables was undertaken</w:t>
      </w:r>
      <w:r w:rsidR="00E56BDD">
        <w:rPr>
          <w:color w:val="000000"/>
        </w:rPr>
        <w:t xml:space="preserve">. </w:t>
      </w:r>
      <w:r w:rsidR="002354FF">
        <w:rPr>
          <w:color w:val="000000"/>
        </w:rPr>
        <w:t>As a result of the analysis of the economy the paper concludes that Dutch Disease is a real threat for the Armenian economy.</w:t>
      </w:r>
    </w:p>
    <w:p w:rsidR="00DC7994" w:rsidRDefault="00DC7994" w:rsidP="00DE7930">
      <w:pPr>
        <w:pStyle w:val="NormalWeb"/>
        <w:shd w:val="clear" w:color="auto" w:fill="FFFFFF"/>
        <w:spacing w:before="0" w:beforeAutospacing="0" w:after="0" w:afterAutospacing="0" w:line="480" w:lineRule="auto"/>
        <w:ind w:firstLine="540"/>
        <w:jc w:val="both"/>
        <w:rPr>
          <w:color w:val="000000"/>
        </w:rPr>
      </w:pPr>
    </w:p>
    <w:p w:rsidR="00944FA5" w:rsidRDefault="00944FA5" w:rsidP="00DE7930">
      <w:pPr>
        <w:pStyle w:val="NormalWeb"/>
        <w:shd w:val="clear" w:color="auto" w:fill="FFFFFF"/>
        <w:spacing w:before="0" w:beforeAutospacing="0" w:after="0" w:afterAutospacing="0" w:line="480" w:lineRule="auto"/>
        <w:ind w:firstLine="540"/>
        <w:jc w:val="both"/>
        <w:rPr>
          <w:color w:val="000000"/>
        </w:rPr>
      </w:pPr>
    </w:p>
    <w:p w:rsidR="00944FA5" w:rsidRDefault="00944FA5" w:rsidP="00DE7930">
      <w:pPr>
        <w:pStyle w:val="NormalWeb"/>
        <w:shd w:val="clear" w:color="auto" w:fill="FFFFFF"/>
        <w:spacing w:before="0" w:beforeAutospacing="0" w:after="0" w:afterAutospacing="0" w:line="480" w:lineRule="auto"/>
        <w:ind w:firstLine="540"/>
        <w:jc w:val="both"/>
        <w:rPr>
          <w:color w:val="000000"/>
        </w:rPr>
      </w:pPr>
    </w:p>
    <w:p w:rsidR="00944FA5" w:rsidRDefault="00944FA5" w:rsidP="00DE7930">
      <w:pPr>
        <w:pStyle w:val="NormalWeb"/>
        <w:shd w:val="clear" w:color="auto" w:fill="FFFFFF"/>
        <w:spacing w:before="0" w:beforeAutospacing="0" w:after="0" w:afterAutospacing="0" w:line="480" w:lineRule="auto"/>
        <w:ind w:firstLine="540"/>
        <w:jc w:val="both"/>
        <w:rPr>
          <w:color w:val="000000"/>
        </w:rPr>
      </w:pPr>
    </w:p>
    <w:p w:rsidR="00944FA5" w:rsidRDefault="00944FA5" w:rsidP="00DE7930">
      <w:pPr>
        <w:pStyle w:val="NormalWeb"/>
        <w:shd w:val="clear" w:color="auto" w:fill="FFFFFF"/>
        <w:spacing w:before="0" w:beforeAutospacing="0" w:after="0" w:afterAutospacing="0" w:line="480" w:lineRule="auto"/>
        <w:ind w:firstLine="540"/>
        <w:jc w:val="both"/>
        <w:rPr>
          <w:color w:val="000000"/>
        </w:rPr>
      </w:pPr>
    </w:p>
    <w:p w:rsidR="00944FA5" w:rsidRDefault="00944FA5" w:rsidP="002354FF">
      <w:pPr>
        <w:pStyle w:val="NormalWeb"/>
        <w:shd w:val="clear" w:color="auto" w:fill="FFFFFF"/>
        <w:spacing w:before="0" w:beforeAutospacing="0" w:after="0" w:afterAutospacing="0" w:line="480" w:lineRule="auto"/>
        <w:jc w:val="both"/>
        <w:rPr>
          <w:color w:val="000000"/>
        </w:rPr>
      </w:pPr>
    </w:p>
    <w:p w:rsidR="002354FF" w:rsidRDefault="002354FF" w:rsidP="002354FF">
      <w:pPr>
        <w:pStyle w:val="NormalWeb"/>
        <w:shd w:val="clear" w:color="auto" w:fill="FFFFFF"/>
        <w:spacing w:before="0" w:beforeAutospacing="0" w:after="0" w:afterAutospacing="0" w:line="480" w:lineRule="auto"/>
        <w:jc w:val="both"/>
        <w:rPr>
          <w:color w:val="000000"/>
        </w:rPr>
      </w:pPr>
    </w:p>
    <w:p w:rsidR="00944FA5" w:rsidRPr="00DE7930" w:rsidRDefault="00944FA5" w:rsidP="005E1DE8">
      <w:pPr>
        <w:pStyle w:val="NormalWeb"/>
        <w:shd w:val="clear" w:color="auto" w:fill="FFFFFF"/>
        <w:spacing w:before="0" w:beforeAutospacing="0" w:after="0" w:afterAutospacing="0" w:line="480" w:lineRule="auto"/>
        <w:jc w:val="both"/>
        <w:rPr>
          <w:color w:val="000000"/>
        </w:rPr>
      </w:pPr>
    </w:p>
    <w:p w:rsidR="008D16F2" w:rsidRPr="00192228" w:rsidRDefault="00DC7994" w:rsidP="008D16F2">
      <w:pPr>
        <w:pStyle w:val="NormalWeb"/>
        <w:shd w:val="clear" w:color="auto" w:fill="FFFFFF"/>
        <w:spacing w:before="0" w:beforeAutospacing="0" w:after="0" w:afterAutospacing="0" w:line="480" w:lineRule="auto"/>
        <w:ind w:firstLine="540"/>
        <w:jc w:val="center"/>
        <w:rPr>
          <w:b/>
          <w:color w:val="000000"/>
          <w:sz w:val="36"/>
          <w:szCs w:val="36"/>
        </w:rPr>
      </w:pPr>
      <w:r w:rsidRPr="00192228">
        <w:rPr>
          <w:b/>
          <w:color w:val="000000"/>
          <w:sz w:val="36"/>
          <w:szCs w:val="36"/>
        </w:rPr>
        <w:lastRenderedPageBreak/>
        <w:t>Chapter 1</w:t>
      </w:r>
      <w:r w:rsidR="008D16F2">
        <w:rPr>
          <w:b/>
          <w:color w:val="000000"/>
          <w:sz w:val="36"/>
          <w:szCs w:val="36"/>
        </w:rPr>
        <w:t>: Introduction</w:t>
      </w:r>
    </w:p>
    <w:p w:rsidR="000C3AF7" w:rsidRPr="008E3213" w:rsidRDefault="000C3AF7" w:rsidP="00DE7930">
      <w:pPr>
        <w:pStyle w:val="NormalWeb"/>
        <w:shd w:val="clear" w:color="auto" w:fill="FFFFFF"/>
        <w:spacing w:before="0" w:beforeAutospacing="0" w:after="0" w:afterAutospacing="0" w:line="480" w:lineRule="auto"/>
        <w:ind w:firstLine="540"/>
        <w:jc w:val="both"/>
        <w:rPr>
          <w:i/>
          <w:color w:val="000000"/>
          <w:sz w:val="28"/>
          <w:szCs w:val="28"/>
          <w:u w:val="single"/>
        </w:rPr>
      </w:pPr>
      <w:r w:rsidRPr="008E3213">
        <w:rPr>
          <w:i/>
          <w:color w:val="000000"/>
          <w:sz w:val="28"/>
          <w:szCs w:val="28"/>
          <w:u w:val="single"/>
        </w:rPr>
        <w:t>Motivation</w:t>
      </w:r>
    </w:p>
    <w:p w:rsidR="000C3AF7" w:rsidRPr="00DE7930" w:rsidRDefault="000C3AF7" w:rsidP="00DE7930">
      <w:pPr>
        <w:pStyle w:val="NormalWeb"/>
        <w:shd w:val="clear" w:color="auto" w:fill="FFFFFF"/>
        <w:spacing w:before="0" w:beforeAutospacing="0" w:after="0" w:afterAutospacing="0" w:line="480" w:lineRule="auto"/>
        <w:ind w:firstLine="540"/>
        <w:jc w:val="both"/>
        <w:rPr>
          <w:color w:val="000000"/>
        </w:rPr>
      </w:pPr>
      <w:r w:rsidRPr="00DE7930">
        <w:rPr>
          <w:color w:val="000000"/>
        </w:rPr>
        <w:t>The mining sector is significant for economic gr</w:t>
      </w:r>
      <w:r w:rsidR="00AB31C2">
        <w:rPr>
          <w:color w:val="000000"/>
        </w:rPr>
        <w:t>owth, foreign direct investment,</w:t>
      </w:r>
      <w:r w:rsidRPr="00DE7930">
        <w:rPr>
          <w:color w:val="000000"/>
        </w:rPr>
        <w:t xml:space="preserve"> econom</w:t>
      </w:r>
      <w:r w:rsidR="00AB31C2">
        <w:rPr>
          <w:color w:val="000000"/>
        </w:rPr>
        <w:t>ic activity in the provinces and as a major source of employment. Combine this is the continuous degradation of the manufacturing sector in the country and</w:t>
      </w:r>
      <w:r w:rsidRPr="00DE7930">
        <w:rPr>
          <w:color w:val="000000"/>
        </w:rPr>
        <w:t xml:space="preserve"> suspicions of Dutch Disease in Armenia</w:t>
      </w:r>
      <w:r w:rsidR="00AB31C2">
        <w:rPr>
          <w:color w:val="000000"/>
        </w:rPr>
        <w:t xml:space="preserve"> arose</w:t>
      </w:r>
      <w:r w:rsidRPr="00DE7930">
        <w:rPr>
          <w:color w:val="000000"/>
        </w:rPr>
        <w:t xml:space="preserve">. </w:t>
      </w:r>
    </w:p>
    <w:p w:rsidR="000C3AF7" w:rsidRPr="00DE7930" w:rsidRDefault="000C3AF7" w:rsidP="00DE7930">
      <w:pPr>
        <w:pStyle w:val="NormalWeb"/>
        <w:shd w:val="clear" w:color="auto" w:fill="FFFFFF"/>
        <w:spacing w:before="0" w:beforeAutospacing="0" w:after="0" w:afterAutospacing="0" w:line="480" w:lineRule="auto"/>
        <w:ind w:firstLine="540"/>
        <w:jc w:val="both"/>
      </w:pPr>
      <w:r w:rsidRPr="00DE7930">
        <w:t>In 1977 the “Economics” Journal first issued the term Dutch Disease referring to the poor management of the natural gas sector in Netherlands. The country’s sector began to dominate the rest of the economy, leaving it dependent on the natural resource</w:t>
      </w:r>
      <w:r w:rsidR="00034F41">
        <w:t>s’</w:t>
      </w:r>
      <w:r w:rsidRPr="00DE7930">
        <w:t xml:space="preserve"> quantity and price. Later, this term was used to describe cases similar to the Netherlands</w:t>
      </w:r>
      <w:r w:rsidR="005E1DE8">
        <w:t>,</w:t>
      </w:r>
      <w:r w:rsidRPr="00DE7930">
        <w:t xml:space="preserve"> describing a boom in natural resource sector and the decline of manufacturing sector. </w:t>
      </w:r>
    </w:p>
    <w:p w:rsidR="000C3AF7" w:rsidRPr="00DE7930" w:rsidRDefault="000C3AF7" w:rsidP="00DE7930">
      <w:pPr>
        <w:pStyle w:val="NormalWeb"/>
        <w:shd w:val="clear" w:color="auto" w:fill="FFFFFF"/>
        <w:spacing w:before="0" w:beforeAutospacing="0" w:after="0" w:afterAutospacing="0" w:line="480" w:lineRule="auto"/>
        <w:ind w:firstLine="540"/>
        <w:jc w:val="both"/>
      </w:pPr>
      <w:r w:rsidRPr="00DE7930">
        <w:t>If left untreated the D</w:t>
      </w:r>
      <w:r w:rsidR="0035096B">
        <w:t>isease may potentially cause non-tradable</w:t>
      </w:r>
      <w:r w:rsidR="001501C7">
        <w:t xml:space="preserve"> sectors to deteriorate,</w:t>
      </w:r>
      <w:r w:rsidRPr="00DE7930">
        <w:t xml:space="preserve"> labour shifts, high inflation, income inequality between tradable and non-tradable </w:t>
      </w:r>
      <w:r w:rsidR="001501C7">
        <w:t>sectors of the industry</w:t>
      </w:r>
      <w:r w:rsidRPr="00DE7930">
        <w:t xml:space="preserve">, etc. Not to mention that the collapse of the dependable sector will bring a major crisis in the economy itself. </w:t>
      </w:r>
      <w:r w:rsidR="0035096B">
        <w:t xml:space="preserve">A combination of the booming mining industry and inflow of remittances into the country are a potential threat that this paper examines.   </w:t>
      </w:r>
    </w:p>
    <w:p w:rsidR="00DC7994" w:rsidRPr="00DE7930" w:rsidRDefault="00DC7994" w:rsidP="00DE7930">
      <w:pPr>
        <w:pStyle w:val="NormalWeb"/>
        <w:shd w:val="clear" w:color="auto" w:fill="FFFFFF"/>
        <w:spacing w:before="0" w:beforeAutospacing="0" w:after="0" w:afterAutospacing="0" w:line="480" w:lineRule="auto"/>
        <w:ind w:firstLine="540"/>
        <w:jc w:val="both"/>
        <w:rPr>
          <w:color w:val="000000"/>
        </w:rPr>
      </w:pPr>
    </w:p>
    <w:p w:rsidR="00DC7994" w:rsidRPr="00626315" w:rsidRDefault="00717470" w:rsidP="00DE7930">
      <w:pPr>
        <w:pStyle w:val="NormalWeb"/>
        <w:shd w:val="clear" w:color="auto" w:fill="FFFFFF"/>
        <w:spacing w:before="0" w:beforeAutospacing="0" w:after="0" w:afterAutospacing="0" w:line="480" w:lineRule="auto"/>
        <w:ind w:firstLine="540"/>
        <w:jc w:val="both"/>
        <w:rPr>
          <w:i/>
          <w:color w:val="000000"/>
          <w:sz w:val="28"/>
          <w:szCs w:val="28"/>
          <w:u w:val="single"/>
        </w:rPr>
      </w:pPr>
      <w:r w:rsidRPr="00626315">
        <w:rPr>
          <w:i/>
          <w:color w:val="000000"/>
          <w:sz w:val="28"/>
          <w:szCs w:val="28"/>
          <w:u w:val="single"/>
        </w:rPr>
        <w:t>Mining Sector</w:t>
      </w:r>
    </w:p>
    <w:p w:rsidR="00DC7994" w:rsidRPr="00626315" w:rsidRDefault="00DC7994" w:rsidP="00DE7930">
      <w:pPr>
        <w:pStyle w:val="NormalWeb"/>
        <w:shd w:val="clear" w:color="auto" w:fill="FFFFFF"/>
        <w:spacing w:before="0" w:beforeAutospacing="0" w:after="0" w:afterAutospacing="0" w:line="480" w:lineRule="auto"/>
        <w:ind w:firstLine="540"/>
        <w:jc w:val="both"/>
        <w:rPr>
          <w:color w:val="000000"/>
        </w:rPr>
      </w:pPr>
      <w:r w:rsidRPr="00626315">
        <w:rPr>
          <w:color w:val="000000"/>
        </w:rPr>
        <w:t>Due to volcanic activity and the country’s position between the converging continents of Europe and Asia, Armenia has rich and diverse mineral resources</w:t>
      </w:r>
      <w:r w:rsidR="00576D90">
        <w:rPr>
          <w:color w:val="000000"/>
        </w:rPr>
        <w:t>. Some of the resources are</w:t>
      </w:r>
      <w:r w:rsidRPr="00626315">
        <w:rPr>
          <w:color w:val="000000"/>
        </w:rPr>
        <w:t xml:space="preserve"> gold, silver, copper lead, zinc, molybdenum and iron-ore, as well a</w:t>
      </w:r>
      <w:r w:rsidR="00E67479" w:rsidRPr="00626315">
        <w:rPr>
          <w:color w:val="000000"/>
        </w:rPr>
        <w:t>s industrial minerals including</w:t>
      </w:r>
      <w:r w:rsidRPr="00626315">
        <w:rPr>
          <w:color w:val="000000"/>
        </w:rPr>
        <w:t xml:space="preserve"> </w:t>
      </w:r>
      <w:r w:rsidR="00E67479" w:rsidRPr="00626315">
        <w:rPr>
          <w:color w:val="000000"/>
        </w:rPr>
        <w:t xml:space="preserve">salt, diatomaceous earth, </w:t>
      </w:r>
      <w:r w:rsidRPr="00626315">
        <w:rPr>
          <w:color w:val="000000"/>
        </w:rPr>
        <w:t>gy</w:t>
      </w:r>
      <w:r w:rsidR="00E67479" w:rsidRPr="00626315">
        <w:rPr>
          <w:color w:val="000000"/>
        </w:rPr>
        <w:t>psum, zeolite, limestone</w:t>
      </w:r>
      <w:r w:rsidRPr="00626315">
        <w:rPr>
          <w:color w:val="000000"/>
        </w:rPr>
        <w:t xml:space="preserve">, granite and basalt. Some copper-molybdenum and polymetallic ore deposits are also rich in </w:t>
      </w:r>
      <w:r w:rsidR="00E67479" w:rsidRPr="00626315">
        <w:rPr>
          <w:color w:val="000000"/>
        </w:rPr>
        <w:t>rare earths and elements including</w:t>
      </w:r>
      <w:r w:rsidRPr="00626315">
        <w:rPr>
          <w:color w:val="000000"/>
        </w:rPr>
        <w:t xml:space="preserve"> </w:t>
      </w:r>
      <w:r w:rsidR="00E67479" w:rsidRPr="00626315">
        <w:rPr>
          <w:color w:val="000000"/>
        </w:rPr>
        <w:t>germanium, bismuth, tellurium,</w:t>
      </w:r>
      <w:r w:rsidRPr="00626315">
        <w:rPr>
          <w:color w:val="000000"/>
        </w:rPr>
        <w:t xml:space="preserve"> gallium, indium,</w:t>
      </w:r>
      <w:r w:rsidR="00E67479" w:rsidRPr="00626315">
        <w:rPr>
          <w:color w:val="000000"/>
        </w:rPr>
        <w:t xml:space="preserve"> selenium,</w:t>
      </w:r>
      <w:r w:rsidRPr="00626315">
        <w:rPr>
          <w:color w:val="000000"/>
        </w:rPr>
        <w:t xml:space="preserve"> th</w:t>
      </w:r>
      <w:r w:rsidR="00E67479" w:rsidRPr="00626315">
        <w:rPr>
          <w:color w:val="000000"/>
        </w:rPr>
        <w:t>allium and rhenium</w:t>
      </w:r>
      <w:r w:rsidRPr="00626315">
        <w:rPr>
          <w:color w:val="000000"/>
        </w:rPr>
        <w:t>.</w:t>
      </w:r>
    </w:p>
    <w:p w:rsidR="00DC7994" w:rsidRPr="00626315" w:rsidRDefault="00DC7994" w:rsidP="00DE7930">
      <w:pPr>
        <w:pStyle w:val="NormalWeb"/>
        <w:shd w:val="clear" w:color="auto" w:fill="FFFFFF"/>
        <w:spacing w:before="0" w:beforeAutospacing="0" w:after="0" w:afterAutospacing="0" w:line="480" w:lineRule="auto"/>
        <w:ind w:firstLine="540"/>
        <w:jc w:val="both"/>
        <w:rPr>
          <w:color w:val="000000"/>
        </w:rPr>
      </w:pPr>
      <w:r w:rsidRPr="00626315">
        <w:rPr>
          <w:color w:val="000000"/>
        </w:rPr>
        <w:lastRenderedPageBreak/>
        <w:t xml:space="preserve">The mining and metallurgical sector is a major driver in development and stability. A </w:t>
      </w:r>
      <w:r w:rsidR="004A45FC" w:rsidRPr="00626315">
        <w:rPr>
          <w:color w:val="000000"/>
        </w:rPr>
        <w:t>sector that contributed to 10% of the GDP nominal growth in 2011</w:t>
      </w:r>
      <w:r w:rsidRPr="00626315">
        <w:rPr>
          <w:color w:val="000000"/>
        </w:rPr>
        <w:t xml:space="preserve"> is a source of income, export and empl</w:t>
      </w:r>
      <w:r w:rsidR="004A45FC">
        <w:rPr>
          <w:color w:val="000000"/>
        </w:rPr>
        <w:t>oyment. This sector alone brought</w:t>
      </w:r>
      <w:r w:rsidRPr="00626315">
        <w:rPr>
          <w:color w:val="000000"/>
        </w:rPr>
        <w:t xml:space="preserve"> </w:t>
      </w:r>
      <w:r w:rsidR="008111A4" w:rsidRPr="00626315">
        <w:rPr>
          <w:color w:val="000000"/>
        </w:rPr>
        <w:t>26</w:t>
      </w:r>
      <w:r w:rsidRPr="00626315">
        <w:rPr>
          <w:color w:val="000000"/>
        </w:rPr>
        <w:t xml:space="preserve">.6% of the total FDI in the year 2012. </w:t>
      </w:r>
    </w:p>
    <w:p w:rsidR="00DC7994" w:rsidRPr="00626315" w:rsidRDefault="00996D07" w:rsidP="00DE7930">
      <w:pPr>
        <w:pStyle w:val="NormalWeb"/>
        <w:shd w:val="clear" w:color="auto" w:fill="FFFFFF"/>
        <w:spacing w:before="0" w:beforeAutospacing="0" w:after="0" w:afterAutospacing="0" w:line="480" w:lineRule="auto"/>
        <w:ind w:firstLine="540"/>
        <w:jc w:val="both"/>
        <w:rPr>
          <w:color w:val="000000"/>
        </w:rPr>
      </w:pPr>
      <w:r w:rsidRPr="00626315">
        <w:rPr>
          <w:color w:val="000000"/>
        </w:rPr>
        <w:t>Increase</w:t>
      </w:r>
      <w:r w:rsidR="00DC7994" w:rsidRPr="00626315">
        <w:rPr>
          <w:color w:val="000000"/>
        </w:rPr>
        <w:t xml:space="preserve"> in the global demand for copper, gold and other metals have increased the investment into mining sector. Armenia has 33 mining and metallurgical enterprises, with 400 o</w:t>
      </w:r>
      <w:r w:rsidRPr="00626315">
        <w:rPr>
          <w:color w:val="000000"/>
        </w:rPr>
        <w:t>pen mines. Two provinces, Syunik and Gegharkunik, are</w:t>
      </w:r>
      <w:r w:rsidR="00DC7994" w:rsidRPr="00626315">
        <w:rPr>
          <w:color w:val="000000"/>
        </w:rPr>
        <w:t xml:space="preserve"> mainly active, hosting seventeen of the mining enterprises. The largest companies are Ararat Gold Recovery Co. (AGRC) and Zangezur Copper-Molybdenum Combine. The country ranks seventee</w:t>
      </w:r>
      <w:r w:rsidRPr="00626315">
        <w:rPr>
          <w:color w:val="000000"/>
        </w:rPr>
        <w:t>nth in the world in mine output</w:t>
      </w:r>
      <w:r w:rsidR="00DC7994" w:rsidRPr="00626315">
        <w:rPr>
          <w:color w:val="000000"/>
        </w:rPr>
        <w:t xml:space="preserve">. </w:t>
      </w:r>
    </w:p>
    <w:p w:rsidR="00DC7994" w:rsidRPr="00626315" w:rsidRDefault="00DC7994" w:rsidP="00DE7930">
      <w:pPr>
        <w:pStyle w:val="NormalWeb"/>
        <w:shd w:val="clear" w:color="auto" w:fill="FFFFFF"/>
        <w:spacing w:before="0" w:beforeAutospacing="0" w:after="0" w:afterAutospacing="0" w:line="480" w:lineRule="auto"/>
        <w:ind w:firstLine="540"/>
        <w:jc w:val="both"/>
        <w:rPr>
          <w:color w:val="000000"/>
        </w:rPr>
      </w:pPr>
      <w:r w:rsidRPr="00626315">
        <w:rPr>
          <w:color w:val="000000"/>
        </w:rPr>
        <w:t>Most of the mining output is expor</w:t>
      </w:r>
      <w:r w:rsidR="004A45FC">
        <w:rPr>
          <w:color w:val="000000"/>
        </w:rPr>
        <w:t>ted to Russia (</w:t>
      </w:r>
      <w:r w:rsidRPr="00626315">
        <w:rPr>
          <w:color w:val="000000"/>
        </w:rPr>
        <w:t>co</w:t>
      </w:r>
      <w:r w:rsidR="004A45FC">
        <w:rPr>
          <w:color w:val="000000"/>
        </w:rPr>
        <w:t>mposing 16.7% of export revenue</w:t>
      </w:r>
      <w:r w:rsidR="00CC16DF">
        <w:rPr>
          <w:color w:val="000000"/>
        </w:rPr>
        <w:t xml:space="preserve"> in 201</w:t>
      </w:r>
      <w:r w:rsidR="00084363">
        <w:rPr>
          <w:color w:val="000000"/>
        </w:rPr>
        <w:t>1</w:t>
      </w:r>
      <w:r w:rsidR="004A45FC">
        <w:rPr>
          <w:color w:val="000000"/>
        </w:rPr>
        <w:t>),</w:t>
      </w:r>
      <w:r w:rsidRPr="00626315">
        <w:rPr>
          <w:color w:val="000000"/>
        </w:rPr>
        <w:t xml:space="preserve"> Germany (11.8%), Bulgaria (11.4%), the Netherlands (8.8%), Iran (8%), the United States (7.5%), etc. Exports of ash, ores and slag accumulate to US$287 million, which is 21.5% of export revenue for the year 2011. Ferrous metal accumulate to US$134 million, precious metals and stones to US$196 million. </w:t>
      </w:r>
      <w:r w:rsidR="00084363">
        <w:rPr>
          <w:rStyle w:val="FootnoteReference"/>
          <w:color w:val="000000"/>
        </w:rPr>
        <w:footnoteReference w:id="1"/>
      </w:r>
    </w:p>
    <w:p w:rsidR="00DC7994" w:rsidRPr="00626315" w:rsidRDefault="00DC7994" w:rsidP="00192228">
      <w:pPr>
        <w:pStyle w:val="NormalWeb"/>
        <w:shd w:val="clear" w:color="auto" w:fill="FFFFFF"/>
        <w:spacing w:before="0" w:beforeAutospacing="0" w:after="0" w:afterAutospacing="0" w:line="480" w:lineRule="auto"/>
        <w:ind w:firstLine="540"/>
        <w:jc w:val="both"/>
        <w:rPr>
          <w:color w:val="000000"/>
        </w:rPr>
      </w:pPr>
      <w:r w:rsidRPr="00626315">
        <w:rPr>
          <w:color w:val="000000"/>
        </w:rPr>
        <w:t>In 2002 Armenia's mining and metallurgical sector reported a 21.8% growth and the sector exported more than 80% of its production. In 2011</w:t>
      </w:r>
      <w:r w:rsidR="006E46E8" w:rsidRPr="00626315">
        <w:rPr>
          <w:color w:val="000000"/>
        </w:rPr>
        <w:t xml:space="preserve"> copper production grew by 19% compared to the previous year and</w:t>
      </w:r>
      <w:r w:rsidRPr="00626315">
        <w:rPr>
          <w:color w:val="000000"/>
        </w:rPr>
        <w:t xml:space="preserve"> mining contributed to 21.5% of the country’s export revenue. A heavy flow of foreign direct investment, a new mining code (RA and World Bank 2011) that is up to international standards, contribution to the enhancement of technology and innovations in environmental assessment and risk reduction at mining sites have had its impact. </w:t>
      </w:r>
    </w:p>
    <w:p w:rsidR="00944FA5" w:rsidRDefault="00944FA5" w:rsidP="00192228">
      <w:pPr>
        <w:pStyle w:val="NormalWeb"/>
        <w:shd w:val="clear" w:color="auto" w:fill="FFFFFF"/>
        <w:spacing w:before="0" w:beforeAutospacing="0" w:after="0" w:afterAutospacing="0" w:line="480" w:lineRule="auto"/>
        <w:ind w:firstLine="540"/>
        <w:jc w:val="both"/>
        <w:rPr>
          <w:color w:val="000000"/>
        </w:rPr>
      </w:pPr>
    </w:p>
    <w:p w:rsidR="00944FA5" w:rsidRDefault="00944FA5" w:rsidP="00192228">
      <w:pPr>
        <w:pStyle w:val="NormalWeb"/>
        <w:shd w:val="clear" w:color="auto" w:fill="FFFFFF"/>
        <w:spacing w:before="0" w:beforeAutospacing="0" w:after="0" w:afterAutospacing="0" w:line="480" w:lineRule="auto"/>
        <w:ind w:firstLine="540"/>
        <w:jc w:val="both"/>
        <w:rPr>
          <w:color w:val="000000"/>
        </w:rPr>
      </w:pPr>
    </w:p>
    <w:p w:rsidR="00192228" w:rsidRPr="00192228" w:rsidRDefault="00192228" w:rsidP="007B0B1D">
      <w:pPr>
        <w:pStyle w:val="NormalWeb"/>
        <w:shd w:val="clear" w:color="auto" w:fill="FFFFFF"/>
        <w:spacing w:before="0" w:beforeAutospacing="0" w:after="0" w:afterAutospacing="0" w:line="480" w:lineRule="auto"/>
        <w:jc w:val="both"/>
        <w:rPr>
          <w:color w:val="000000"/>
        </w:rPr>
      </w:pPr>
    </w:p>
    <w:p w:rsidR="00DC7994" w:rsidRPr="008E3213" w:rsidRDefault="00DC7994" w:rsidP="00DE7930">
      <w:pPr>
        <w:spacing w:after="0" w:line="480" w:lineRule="auto"/>
        <w:ind w:firstLine="540"/>
        <w:jc w:val="both"/>
        <w:rPr>
          <w:rFonts w:ascii="Times New Roman" w:hAnsi="Times New Roman" w:cs="Times New Roman"/>
          <w:i/>
          <w:sz w:val="28"/>
          <w:szCs w:val="28"/>
          <w:u w:val="single"/>
        </w:rPr>
      </w:pPr>
      <w:r w:rsidRPr="008E3213">
        <w:rPr>
          <w:rFonts w:ascii="Times New Roman" w:hAnsi="Times New Roman" w:cs="Times New Roman"/>
          <w:i/>
          <w:sz w:val="28"/>
          <w:szCs w:val="28"/>
          <w:u w:val="single"/>
        </w:rPr>
        <w:lastRenderedPageBreak/>
        <w:t xml:space="preserve">Literature Review </w:t>
      </w:r>
    </w:p>
    <w:p w:rsidR="005F3F41" w:rsidRDefault="00DC7994" w:rsidP="005F3F41">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Corden and Neary, in 1982, were the first who put the Dutch Disease theory in economic model. In the original paper, the disease was described as the impact of a booming industry on other industries of the coun</w:t>
      </w:r>
      <w:r w:rsidR="005F3F41">
        <w:rPr>
          <w:rFonts w:ascii="Times New Roman" w:hAnsi="Times New Roman" w:cs="Times New Roman"/>
          <w:sz w:val="24"/>
          <w:szCs w:val="24"/>
        </w:rPr>
        <w:t>try. According to the paper, in</w:t>
      </w:r>
      <w:r w:rsidR="00865784" w:rsidRPr="00DE7930">
        <w:rPr>
          <w:rFonts w:ascii="Times New Roman" w:hAnsi="Times New Roman" w:cs="Times New Roman"/>
          <w:sz w:val="24"/>
          <w:szCs w:val="24"/>
        </w:rPr>
        <w:t xml:space="preserve"> a small open economy d</w:t>
      </w:r>
      <w:r w:rsidRPr="00DE7930">
        <w:rPr>
          <w:rFonts w:ascii="Times New Roman" w:hAnsi="Times New Roman" w:cs="Times New Roman"/>
          <w:sz w:val="24"/>
          <w:szCs w:val="24"/>
        </w:rPr>
        <w:t xml:space="preserve">omestic exchange rate appreciation means that goods produced domestically cost more in the world market compared to other countries’ goods, thus decreasing the country’s competitiveness in the world market. </w:t>
      </w:r>
    </w:p>
    <w:p w:rsidR="00DC7994" w:rsidRPr="00DE7930" w:rsidRDefault="00865784" w:rsidP="005F3F41">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In most countries w</w:t>
      </w:r>
      <w:r w:rsidR="008221C5">
        <w:rPr>
          <w:rFonts w:ascii="Times New Roman" w:hAnsi="Times New Roman" w:cs="Times New Roman"/>
          <w:sz w:val="24"/>
          <w:szCs w:val="24"/>
        </w:rPr>
        <w:t>h</w:t>
      </w:r>
      <w:r w:rsidRPr="00DE7930">
        <w:rPr>
          <w:rFonts w:ascii="Times New Roman" w:hAnsi="Times New Roman" w:cs="Times New Roman"/>
          <w:sz w:val="24"/>
          <w:szCs w:val="24"/>
        </w:rPr>
        <w:t>ere DD was detected (</w:t>
      </w:r>
      <w:r w:rsidR="008221C5" w:rsidRPr="00DE7930">
        <w:rPr>
          <w:rFonts w:ascii="Times New Roman" w:hAnsi="Times New Roman" w:cs="Times New Roman"/>
          <w:sz w:val="24"/>
          <w:szCs w:val="24"/>
        </w:rPr>
        <w:t>i.e.</w:t>
      </w:r>
      <w:r w:rsidRPr="00DE7930">
        <w:rPr>
          <w:rFonts w:ascii="Times New Roman" w:hAnsi="Times New Roman" w:cs="Times New Roman"/>
          <w:sz w:val="24"/>
          <w:szCs w:val="24"/>
        </w:rPr>
        <w:t xml:space="preserve"> Russia</w:t>
      </w:r>
      <w:r w:rsidR="009B05F1">
        <w:rPr>
          <w:rFonts w:ascii="Times New Roman" w:hAnsi="Times New Roman" w:cs="Times New Roman"/>
          <w:sz w:val="24"/>
          <w:szCs w:val="24"/>
        </w:rPr>
        <w:t>, Australia, Canada</w:t>
      </w:r>
      <w:r w:rsidRPr="00DE7930">
        <w:rPr>
          <w:rFonts w:ascii="Times New Roman" w:hAnsi="Times New Roman" w:cs="Times New Roman"/>
          <w:sz w:val="24"/>
          <w:szCs w:val="24"/>
        </w:rPr>
        <w:t>) t</w:t>
      </w:r>
      <w:r w:rsidR="00DC7994" w:rsidRPr="00DE7930">
        <w:rPr>
          <w:rFonts w:ascii="Times New Roman" w:hAnsi="Times New Roman" w:cs="Times New Roman"/>
          <w:sz w:val="24"/>
          <w:szCs w:val="24"/>
        </w:rPr>
        <w:t>his mainly hurts the manufacturing sector, since the cost of manufacturing the good is the same, but the demand in the world market declines. By a chain reaction the companies cut down supply, thus need less employees</w:t>
      </w:r>
      <w:r w:rsidR="008221C5">
        <w:rPr>
          <w:rFonts w:ascii="Times New Roman" w:hAnsi="Times New Roman" w:cs="Times New Roman"/>
          <w:sz w:val="24"/>
          <w:szCs w:val="24"/>
        </w:rPr>
        <w:t>,</w:t>
      </w:r>
      <w:r w:rsidR="00DC7994" w:rsidRPr="00DE7930">
        <w:rPr>
          <w:rFonts w:ascii="Times New Roman" w:hAnsi="Times New Roman" w:cs="Times New Roman"/>
          <w:sz w:val="24"/>
          <w:szCs w:val="24"/>
        </w:rPr>
        <w:t xml:space="preserve"> leading to unemployment rise. Consequently, decrease in production within </w:t>
      </w:r>
      <w:r w:rsidR="008221C5">
        <w:rPr>
          <w:rFonts w:ascii="Times New Roman" w:hAnsi="Times New Roman" w:cs="Times New Roman"/>
          <w:sz w:val="24"/>
          <w:szCs w:val="24"/>
        </w:rPr>
        <w:t xml:space="preserve">a </w:t>
      </w:r>
      <w:r w:rsidR="00DC7994" w:rsidRPr="00DE7930">
        <w:rPr>
          <w:rFonts w:ascii="Times New Roman" w:hAnsi="Times New Roman" w:cs="Times New Roman"/>
          <w:sz w:val="24"/>
          <w:szCs w:val="24"/>
        </w:rPr>
        <w:t>country</w:t>
      </w:r>
      <w:r w:rsidR="008221C5">
        <w:rPr>
          <w:rFonts w:ascii="Times New Roman" w:hAnsi="Times New Roman" w:cs="Times New Roman"/>
          <w:sz w:val="24"/>
          <w:szCs w:val="24"/>
        </w:rPr>
        <w:t xml:space="preserve"> potentially</w:t>
      </w:r>
      <w:r w:rsidR="00DC7994" w:rsidRPr="00DE7930">
        <w:rPr>
          <w:rFonts w:ascii="Times New Roman" w:hAnsi="Times New Roman" w:cs="Times New Roman"/>
          <w:sz w:val="24"/>
          <w:szCs w:val="24"/>
        </w:rPr>
        <w:t xml:space="preserve"> causes decrease in GDP.</w:t>
      </w:r>
    </w:p>
    <w:p w:rsidR="00DC7994" w:rsidRPr="00DE7930" w:rsidRDefault="0086578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If DD is caused by foreign investment,</w:t>
      </w:r>
      <w:r w:rsidR="00DC7994" w:rsidRPr="00DE7930">
        <w:rPr>
          <w:rFonts w:ascii="Times New Roman" w:hAnsi="Times New Roman" w:cs="Times New Roman"/>
          <w:sz w:val="24"/>
          <w:szCs w:val="24"/>
        </w:rPr>
        <w:t xml:space="preserve"> income from natural resource sector continues to inflow, increasing the salary for that sector. In addition to labour shift from the weakened sectors to the high-salary sector, high salary brings to higher taxes. In most cases high taxes give rise to governmental spending, which leads to inflation. The inflation is more commonly observed in non-tradable sector in this scenario. </w:t>
      </w:r>
      <w:r w:rsidRPr="00DE7930">
        <w:rPr>
          <w:rFonts w:ascii="Times New Roman" w:hAnsi="Times New Roman" w:cs="Times New Roman"/>
          <w:sz w:val="24"/>
          <w:szCs w:val="24"/>
        </w:rPr>
        <w:t>(Corden, 1982)</w:t>
      </w:r>
    </w:p>
    <w:p w:rsidR="00DC7994" w:rsidRPr="00DE7930"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Initially it was assumed that the cause for Dutch</w:t>
      </w:r>
      <w:r w:rsidR="008221C5">
        <w:rPr>
          <w:rFonts w:ascii="Times New Roman" w:hAnsi="Times New Roman" w:cs="Times New Roman"/>
          <w:sz w:val="24"/>
          <w:szCs w:val="24"/>
        </w:rPr>
        <w:t xml:space="preserve"> Disease was only in the boom of</w:t>
      </w:r>
      <w:r w:rsidRPr="00DE7930">
        <w:rPr>
          <w:rFonts w:ascii="Times New Roman" w:hAnsi="Times New Roman" w:cs="Times New Roman"/>
          <w:sz w:val="24"/>
          <w:szCs w:val="24"/>
        </w:rPr>
        <w:t xml:space="preserve"> the natural resource sector. However, a study by Brunnschweiler, C. N. and Bulte, E. H. (2008) argued that it is not the abundance of natural resources that has this effect, but the management of the resource. That is, poor institutions are what cause Dutch Disease.</w:t>
      </w:r>
    </w:p>
    <w:p w:rsidR="00DC7994" w:rsidRPr="00DE7930"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Hence, a possible explanation for the resource curse is that the resource wealth creates a rivalry over the resources, which leads to poor institutional quality, thus lowering economic growth. Hausmann and Rigobon (2003) argue that due to uncertainty related to property rights over the resource income incompetence in the use of existing resources occur. Sala-i-</w:t>
      </w:r>
      <w:r w:rsidRPr="00DE7930">
        <w:rPr>
          <w:rFonts w:ascii="Times New Roman" w:hAnsi="Times New Roman" w:cs="Times New Roman"/>
          <w:sz w:val="24"/>
          <w:szCs w:val="24"/>
        </w:rPr>
        <w:lastRenderedPageBreak/>
        <w:t>Martin and Subramanian (2003) name it “institutional impact of natural resources,” and conduct empirical research that shows how some natural resources put forth a robust negative and nonlinear impact on growth due to their harmful impact on institutional quality.</w:t>
      </w:r>
    </w:p>
    <w:p w:rsidR="00DC7994" w:rsidRPr="00DE7930"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A second explanation lies in the volatility of the resource rents. This volatility is partly caused by low price elasticity of supply. Volatility presents risk and has negatively correlate</w:t>
      </w:r>
      <w:r w:rsidR="00865784" w:rsidRPr="00DE7930">
        <w:rPr>
          <w:rFonts w:ascii="Times New Roman" w:hAnsi="Times New Roman" w:cs="Times New Roman"/>
          <w:sz w:val="24"/>
          <w:szCs w:val="24"/>
        </w:rPr>
        <w:t>d with growth (Ramey, 1995</w:t>
      </w:r>
      <w:r w:rsidRPr="00DE7930">
        <w:rPr>
          <w:rFonts w:ascii="Times New Roman" w:hAnsi="Times New Roman" w:cs="Times New Roman"/>
          <w:sz w:val="24"/>
          <w:szCs w:val="24"/>
        </w:rPr>
        <w:t xml:space="preserve">) and investment (Aizenman and Marion (1999)). Hausmann and Rigobon (2003) argue that the reason for the negative effect is because of financial market imperfections, which gives higher cost of capital, less investment, and lower welfare caused by volatility. </w:t>
      </w:r>
    </w:p>
    <w:p w:rsidR="00865784" w:rsidRPr="00DE7930" w:rsidRDefault="00DC7994" w:rsidP="008E3213">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 xml:space="preserve">A third explanation of the resource curse goes back to Corden (1982) and Corden and Neary(1984). That is the notion that an exogenous rise in resource prices or in resource output gives real exchange rate appreciation and a decline in the manufacturing sector. </w:t>
      </w:r>
      <w:r w:rsidR="00865784" w:rsidRPr="00DE7930">
        <w:rPr>
          <w:rFonts w:ascii="Times New Roman" w:hAnsi="Times New Roman" w:cs="Times New Roman"/>
          <w:sz w:val="24"/>
          <w:szCs w:val="24"/>
        </w:rPr>
        <w:t>A recent finding shows that besides natural resources, other factors, such as international aid from developed countries to less developed countries, may cause Dutch Disease. Consequently, the theory suggests that a flood of foreign currency from any sources is likely to cause Dutch Disease (Rajan and Subramanian, 2008).</w:t>
      </w:r>
    </w:p>
    <w:p w:rsidR="00DC7994" w:rsidRPr="00DE7930"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The predictions of the Dutch Disease model following Corden and Neary (1984) consider two effects of the disease: movement effect and spending effect. The rise in disposable income that follows from foreign direct investment into particular sector or financial aid is described as the spending effect. Disposable income leads to increase in spending. Rise in the demand for tradable and non-tradable goods though bring price asymmetry, since the price of the tradable good doesn’t change in the world market (Law of Once Price). The raised prices for the non-tradable goods may bring rise in wages, thus labour shift to that sector.</w:t>
      </w:r>
    </w:p>
    <w:p w:rsidR="005F3AD5" w:rsidRPr="00DE7930"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lastRenderedPageBreak/>
        <w:t xml:space="preserve"> The movement effect entails increase in marginal productivity of the tradable good </w:t>
      </w:r>
      <w:r w:rsidR="00B70190">
        <w:rPr>
          <w:rFonts w:ascii="Times New Roman" w:hAnsi="Times New Roman" w:cs="Times New Roman"/>
          <w:sz w:val="24"/>
          <w:szCs w:val="24"/>
        </w:rPr>
        <w:t>sector, thus higher wages, leading to</w:t>
      </w:r>
      <w:r w:rsidRPr="00DE7930">
        <w:rPr>
          <w:rFonts w:ascii="Times New Roman" w:hAnsi="Times New Roman" w:cs="Times New Roman"/>
          <w:sz w:val="24"/>
          <w:szCs w:val="24"/>
        </w:rPr>
        <w:t xml:space="preserve"> labour shift towards the tradable good sector. This effect is mostly what causes a decline in the manufacturing sector. Corden and Neary (1984) denote the fall in manufacturing output as “direct de-industrialization.”</w:t>
      </w:r>
      <w:r w:rsidR="005F3AD5" w:rsidRPr="00DE7930">
        <w:rPr>
          <w:rFonts w:ascii="Times New Roman" w:hAnsi="Times New Roman" w:cs="Times New Roman"/>
          <w:sz w:val="24"/>
          <w:szCs w:val="24"/>
        </w:rPr>
        <w:t xml:space="preserve"> Both effects cause decline in the output of the non-resource tradable goods relative to non-tradable goods, and a real exchange rate appreciation (Spatafora and Warner, 1995).</w:t>
      </w:r>
      <w:r w:rsidR="00107941">
        <w:rPr>
          <w:rFonts w:ascii="Times New Roman" w:hAnsi="Times New Roman" w:cs="Times New Roman"/>
          <w:sz w:val="24"/>
          <w:szCs w:val="24"/>
        </w:rPr>
        <w:t xml:space="preserve"> Authors A. Richards and J. Waterbury described DD in the Middle East in 2008 saying that DD causes decline in manufacturing and agriculture, while movement effects takes place from declining industries into the natural resource and construction sectors. According to the book, rural workers move to the city, seeking construction jobs, because of wage inequality caused by DD.</w:t>
      </w:r>
    </w:p>
    <w:p w:rsidR="00107941" w:rsidRPr="00DE7930" w:rsidRDefault="00DC7994" w:rsidP="00107941">
      <w:pPr>
        <w:autoSpaceDE w:val="0"/>
        <w:autoSpaceDN w:val="0"/>
        <w:adjustRightInd w:val="0"/>
        <w:spacing w:after="100" w:afterAutospacing="1" w:line="480" w:lineRule="auto"/>
        <w:ind w:firstLine="547"/>
        <w:jc w:val="both"/>
        <w:rPr>
          <w:rFonts w:ascii="Times New Roman" w:hAnsi="Times New Roman" w:cs="Times New Roman"/>
          <w:sz w:val="24"/>
          <w:szCs w:val="24"/>
        </w:rPr>
      </w:pPr>
      <w:r w:rsidRPr="00DE7930">
        <w:rPr>
          <w:rFonts w:ascii="Times New Roman" w:hAnsi="Times New Roman" w:cs="Times New Roman"/>
          <w:sz w:val="24"/>
          <w:szCs w:val="24"/>
        </w:rPr>
        <w:t>The Dutch Disease can be explain</w:t>
      </w:r>
      <w:r w:rsidR="005F3AD5" w:rsidRPr="00DE7930">
        <w:rPr>
          <w:rFonts w:ascii="Times New Roman" w:hAnsi="Times New Roman" w:cs="Times New Roman"/>
          <w:sz w:val="24"/>
          <w:szCs w:val="24"/>
        </w:rPr>
        <w:t>ed</w:t>
      </w:r>
      <w:r w:rsidRPr="00DE7930">
        <w:rPr>
          <w:rFonts w:ascii="Times New Roman" w:hAnsi="Times New Roman" w:cs="Times New Roman"/>
          <w:sz w:val="24"/>
          <w:szCs w:val="24"/>
        </w:rPr>
        <w:t xml:space="preserve"> by the Rybczynski theorem. Assuming a Heckscher-Ohlin model, consider an economy with labour and capital intensive sectors with appropriate endowments. </w:t>
      </w:r>
    </w:p>
    <w:p w:rsidR="00DC7994" w:rsidRPr="00DE7930" w:rsidRDefault="00944FA5" w:rsidP="00F25613">
      <w:pPr>
        <w:autoSpaceDE w:val="0"/>
        <w:autoSpaceDN w:val="0"/>
        <w:adjustRightInd w:val="0"/>
        <w:spacing w:after="0" w:line="480" w:lineRule="auto"/>
        <w:ind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BA73269" wp14:editId="284599FF">
            <wp:extent cx="3221665" cy="2656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1392_10204173298070555_1772555287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3051" cy="2657973"/>
                    </a:xfrm>
                    <a:prstGeom prst="rect">
                      <a:avLst/>
                    </a:prstGeom>
                  </pic:spPr>
                </pic:pic>
              </a:graphicData>
            </a:graphic>
          </wp:inline>
        </w:drawing>
      </w:r>
    </w:p>
    <w:p w:rsidR="00107941" w:rsidRDefault="00AE4506" w:rsidP="00107941">
      <w:pPr>
        <w:autoSpaceDE w:val="0"/>
        <w:autoSpaceDN w:val="0"/>
        <w:adjustRightInd w:val="0"/>
        <w:spacing w:after="100" w:afterAutospacing="1" w:line="480" w:lineRule="auto"/>
        <w:ind w:firstLine="547"/>
        <w:jc w:val="right"/>
        <w:rPr>
          <w:rFonts w:ascii="Times New Roman" w:hAnsi="Times New Roman" w:cs="Times New Roman"/>
          <w:i/>
          <w:sz w:val="24"/>
          <w:szCs w:val="24"/>
        </w:rPr>
      </w:pPr>
      <w:r>
        <w:rPr>
          <w:rFonts w:ascii="Times New Roman" w:hAnsi="Times New Roman" w:cs="Times New Roman"/>
          <w:i/>
          <w:sz w:val="24"/>
          <w:szCs w:val="24"/>
        </w:rPr>
        <w:t>Figure</w:t>
      </w:r>
      <w:r w:rsidR="00E05869">
        <w:rPr>
          <w:rFonts w:ascii="Times New Roman" w:hAnsi="Times New Roman" w:cs="Times New Roman"/>
          <w:i/>
          <w:sz w:val="24"/>
          <w:szCs w:val="24"/>
        </w:rPr>
        <w:t xml:space="preserve"> 1.</w:t>
      </w:r>
      <w:r>
        <w:rPr>
          <w:rFonts w:ascii="Times New Roman" w:hAnsi="Times New Roman" w:cs="Times New Roman"/>
          <w:i/>
          <w:sz w:val="24"/>
          <w:szCs w:val="24"/>
        </w:rPr>
        <w:t xml:space="preserve"> </w:t>
      </w:r>
      <w:r w:rsidRPr="00AE4506">
        <w:rPr>
          <w:rFonts w:ascii="Times New Roman" w:hAnsi="Times New Roman" w:cs="Times New Roman"/>
          <w:i/>
          <w:sz w:val="24"/>
          <w:szCs w:val="24"/>
        </w:rPr>
        <w:t>Rybczynski theorem</w:t>
      </w:r>
      <w:r>
        <w:rPr>
          <w:rFonts w:ascii="Times New Roman" w:hAnsi="Times New Roman" w:cs="Times New Roman"/>
          <w:i/>
          <w:sz w:val="24"/>
          <w:szCs w:val="24"/>
        </w:rPr>
        <w:t xml:space="preserve"> in HO model </w:t>
      </w:r>
    </w:p>
    <w:p w:rsidR="00107941" w:rsidRDefault="00107941"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 xml:space="preserve">The theorem states: </w:t>
      </w:r>
      <w:r w:rsidRPr="00DE7930">
        <w:rPr>
          <w:rStyle w:val="apple-converted-space"/>
          <w:rFonts w:ascii="Times New Roman" w:hAnsi="Times New Roman" w:cs="Times New Roman"/>
          <w:sz w:val="24"/>
          <w:szCs w:val="24"/>
          <w:shd w:val="clear" w:color="auto" w:fill="FFFFFF"/>
        </w:rPr>
        <w:t> “</w:t>
      </w:r>
      <w:r w:rsidRPr="00DE7930">
        <w:rPr>
          <w:rFonts w:ascii="Times New Roman" w:hAnsi="Times New Roman" w:cs="Times New Roman"/>
          <w:sz w:val="24"/>
          <w:szCs w:val="24"/>
          <w:shd w:val="clear" w:color="auto" w:fill="FFFFFF"/>
        </w:rPr>
        <w:t xml:space="preserve">At constant relative goods prices, a rise in the endowment of one factor will lead to a more than proportional expansion of the output in the sector which uses </w:t>
      </w:r>
      <w:r w:rsidRPr="00DE7930">
        <w:rPr>
          <w:rFonts w:ascii="Times New Roman" w:hAnsi="Times New Roman" w:cs="Times New Roman"/>
          <w:sz w:val="24"/>
          <w:szCs w:val="24"/>
          <w:shd w:val="clear" w:color="auto" w:fill="FFFFFF"/>
        </w:rPr>
        <w:lastRenderedPageBreak/>
        <w:t>that factor intensively, and an absolute decline of the output of the other good”</w:t>
      </w:r>
      <w:r w:rsidRPr="00DE7930">
        <w:rPr>
          <w:rFonts w:ascii="Times New Roman" w:hAnsi="Times New Roman" w:cs="Times New Roman"/>
          <w:sz w:val="24"/>
          <w:szCs w:val="24"/>
        </w:rPr>
        <w:t xml:space="preserve"> (Tadeusz </w:t>
      </w:r>
      <w:r>
        <w:rPr>
          <w:rFonts w:ascii="Times New Roman" w:hAnsi="Times New Roman" w:cs="Times New Roman"/>
          <w:sz w:val="24"/>
          <w:szCs w:val="24"/>
        </w:rPr>
        <w:t xml:space="preserve">M. </w:t>
      </w:r>
      <w:r w:rsidRPr="00DE7930">
        <w:rPr>
          <w:rFonts w:ascii="Times New Roman" w:hAnsi="Times New Roman" w:cs="Times New Roman"/>
          <w:sz w:val="24"/>
          <w:szCs w:val="24"/>
        </w:rPr>
        <w:t>Rybczynski, 1955).</w:t>
      </w:r>
    </w:p>
    <w:p w:rsidR="005F3AD5" w:rsidRPr="00DE7930" w:rsidRDefault="00A36A53"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Figure 1 illustrates</w:t>
      </w:r>
      <w:r w:rsidR="00DC7994" w:rsidRPr="00DE7930">
        <w:rPr>
          <w:rFonts w:ascii="Times New Roman" w:hAnsi="Times New Roman" w:cs="Times New Roman"/>
          <w:sz w:val="24"/>
          <w:szCs w:val="24"/>
        </w:rPr>
        <w:t xml:space="preserve"> the Rybczynski theorem. A rise in the labour </w:t>
      </w:r>
      <w:r w:rsidRPr="00DE7930">
        <w:rPr>
          <w:rFonts w:ascii="Times New Roman" w:hAnsi="Times New Roman" w:cs="Times New Roman"/>
          <w:sz w:val="24"/>
          <w:szCs w:val="24"/>
        </w:rPr>
        <w:t>endowment</w:t>
      </w:r>
      <w:r w:rsidR="00DC7994" w:rsidRPr="00DE7930">
        <w:rPr>
          <w:rFonts w:ascii="Times New Roman" w:hAnsi="Times New Roman" w:cs="Times New Roman"/>
          <w:sz w:val="24"/>
          <w:szCs w:val="24"/>
        </w:rPr>
        <w:t xml:space="preserve"> (due to investment or financial aid) gives rise to the labour intensive sector. At the same time, it shifts equilibrium point from A to B, thus declining the capital intensive sector from point S</w:t>
      </w:r>
      <w:r w:rsidR="00DC7994" w:rsidRPr="00DE7930">
        <w:rPr>
          <w:rFonts w:ascii="Times New Roman" w:hAnsi="Times New Roman" w:cs="Times New Roman"/>
          <w:sz w:val="24"/>
          <w:szCs w:val="24"/>
          <w:vertAlign w:val="subscript"/>
        </w:rPr>
        <w:t>1</w:t>
      </w:r>
      <w:r w:rsidR="00DC7994" w:rsidRPr="00DE7930">
        <w:rPr>
          <w:rFonts w:ascii="Times New Roman" w:hAnsi="Times New Roman" w:cs="Times New Roman"/>
          <w:sz w:val="24"/>
          <w:szCs w:val="24"/>
        </w:rPr>
        <w:t xml:space="preserve"> to S</w:t>
      </w:r>
      <w:r w:rsidR="00DC7994" w:rsidRPr="00DE7930">
        <w:rPr>
          <w:rFonts w:ascii="Times New Roman" w:hAnsi="Times New Roman" w:cs="Times New Roman"/>
          <w:sz w:val="24"/>
          <w:szCs w:val="24"/>
          <w:vertAlign w:val="subscript"/>
        </w:rPr>
        <w:t>2</w:t>
      </w:r>
      <w:r w:rsidR="00DC7994" w:rsidRPr="00DE7930">
        <w:rPr>
          <w:rFonts w:ascii="Times New Roman" w:hAnsi="Times New Roman" w:cs="Times New Roman"/>
          <w:sz w:val="24"/>
          <w:szCs w:val="24"/>
        </w:rPr>
        <w:t>.</w:t>
      </w:r>
      <w:r w:rsidR="00FC54D6" w:rsidRPr="00DE7930">
        <w:rPr>
          <w:rFonts w:ascii="Times New Roman" w:hAnsi="Times New Roman" w:cs="Times New Roman"/>
          <w:sz w:val="24"/>
          <w:szCs w:val="24"/>
        </w:rPr>
        <w:t xml:space="preserve"> If so, than DD</w:t>
      </w:r>
      <w:r w:rsidR="005F3AD5" w:rsidRPr="00DE7930">
        <w:rPr>
          <w:rFonts w:ascii="Times New Roman" w:hAnsi="Times New Roman" w:cs="Times New Roman"/>
          <w:sz w:val="24"/>
          <w:szCs w:val="24"/>
        </w:rPr>
        <w:t xml:space="preserve"> affects labor-intensive</w:t>
      </w:r>
      <w:r w:rsidR="00FC54D6" w:rsidRPr="00DE7930">
        <w:rPr>
          <w:rFonts w:ascii="Times New Roman" w:hAnsi="Times New Roman" w:cs="Times New Roman"/>
          <w:sz w:val="24"/>
          <w:szCs w:val="24"/>
        </w:rPr>
        <w:t xml:space="preserve"> </w:t>
      </w:r>
      <w:r w:rsidR="005F3AD5" w:rsidRPr="00DE7930">
        <w:rPr>
          <w:rFonts w:ascii="Times New Roman" w:hAnsi="Times New Roman" w:cs="Times New Roman"/>
          <w:sz w:val="24"/>
          <w:szCs w:val="24"/>
        </w:rPr>
        <w:t xml:space="preserve">industries </w:t>
      </w:r>
      <w:r w:rsidR="00FC54D6" w:rsidRPr="00DE7930">
        <w:rPr>
          <w:rFonts w:ascii="Times New Roman" w:hAnsi="Times New Roman" w:cs="Times New Roman"/>
          <w:sz w:val="24"/>
          <w:szCs w:val="24"/>
        </w:rPr>
        <w:t xml:space="preserve">more and increase capital intensity (Ismail, </w:t>
      </w:r>
      <w:r w:rsidR="005F3AD5" w:rsidRPr="00DE7930">
        <w:rPr>
          <w:rFonts w:ascii="Times New Roman" w:hAnsi="Times New Roman" w:cs="Times New Roman"/>
          <w:sz w:val="24"/>
          <w:szCs w:val="24"/>
        </w:rPr>
        <w:t>2010)</w:t>
      </w:r>
      <w:r w:rsidR="00FC54D6" w:rsidRPr="00DE7930">
        <w:rPr>
          <w:rFonts w:ascii="Times New Roman" w:hAnsi="Times New Roman" w:cs="Times New Roman"/>
          <w:sz w:val="24"/>
          <w:szCs w:val="24"/>
        </w:rPr>
        <w:t xml:space="preserve">. This could give rise to unemployment as was the case </w:t>
      </w:r>
      <w:r w:rsidR="005F3AD5" w:rsidRPr="00DE7930">
        <w:rPr>
          <w:rFonts w:ascii="Times New Roman" w:hAnsi="Times New Roman" w:cs="Times New Roman"/>
          <w:sz w:val="24"/>
          <w:szCs w:val="24"/>
        </w:rPr>
        <w:t>in the</w:t>
      </w:r>
      <w:r w:rsidR="00FC54D6" w:rsidRPr="00DE7930">
        <w:rPr>
          <w:rFonts w:ascii="Times New Roman" w:hAnsi="Times New Roman" w:cs="Times New Roman"/>
          <w:sz w:val="24"/>
          <w:szCs w:val="24"/>
        </w:rPr>
        <w:t xml:space="preserve"> </w:t>
      </w:r>
      <w:r w:rsidR="005F3AD5" w:rsidRPr="00DE7930">
        <w:rPr>
          <w:rFonts w:ascii="Times New Roman" w:hAnsi="Times New Roman" w:cs="Times New Roman"/>
          <w:sz w:val="24"/>
          <w:szCs w:val="24"/>
        </w:rPr>
        <w:t>Netherlands and the United Kingdom. Loayza</w:t>
      </w:r>
      <w:r w:rsidR="00B70190">
        <w:rPr>
          <w:rFonts w:ascii="Times New Roman" w:hAnsi="Times New Roman" w:cs="Times New Roman"/>
          <w:sz w:val="24"/>
          <w:szCs w:val="24"/>
        </w:rPr>
        <w:t xml:space="preserve"> et al. (2007) provide a recent </w:t>
      </w:r>
      <w:r w:rsidR="005F3AD5" w:rsidRPr="00DE7930">
        <w:rPr>
          <w:rFonts w:ascii="Times New Roman" w:hAnsi="Times New Roman" w:cs="Times New Roman"/>
          <w:sz w:val="24"/>
          <w:szCs w:val="24"/>
        </w:rPr>
        <w:t>survey</w:t>
      </w:r>
      <w:r w:rsidR="00B70190">
        <w:rPr>
          <w:rFonts w:ascii="Times New Roman" w:hAnsi="Times New Roman" w:cs="Times New Roman"/>
          <w:sz w:val="24"/>
          <w:szCs w:val="24"/>
        </w:rPr>
        <w:t xml:space="preserve"> confirming this</w:t>
      </w:r>
      <w:r w:rsidR="005F3AD5" w:rsidRPr="00DE7930">
        <w:rPr>
          <w:rFonts w:ascii="Times New Roman" w:hAnsi="Times New Roman" w:cs="Times New Roman"/>
          <w:sz w:val="24"/>
          <w:szCs w:val="24"/>
        </w:rPr>
        <w:t>.</w:t>
      </w:r>
    </w:p>
    <w:p w:rsidR="00DC7994" w:rsidRDefault="00DC7994"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Studies have been conducted to both diagnose and reject the Dutch Disease in several countries. IMF (2005) papers reported on the absence of Dutch Disease for the following five countries: Ghana, Ethiopia, Mozambique, Tanzania and Uganda, despite foreign exchange inflows due to financial a</w:t>
      </w:r>
      <w:r w:rsidR="00B70190">
        <w:rPr>
          <w:rFonts w:ascii="Times New Roman" w:hAnsi="Times New Roman" w:cs="Times New Roman"/>
          <w:sz w:val="24"/>
          <w:szCs w:val="24"/>
        </w:rPr>
        <w:t xml:space="preserve">id into the countries. </w:t>
      </w:r>
      <w:r w:rsidRPr="00DE7930">
        <w:rPr>
          <w:rFonts w:ascii="Times New Roman" w:hAnsi="Times New Roman" w:cs="Times New Roman"/>
          <w:sz w:val="24"/>
          <w:szCs w:val="24"/>
        </w:rPr>
        <w:t>The study by Rajan and Subramanian (2008) found evidence of a systematic negative effect of foreign aid on the competitiveness of exports (33 sampled countries in 1980s and 15 countries in 1990s). A one percentage point increase in the ratio of aid to GDP gives four percentage point overvaluation of the exchange rate.</w:t>
      </w:r>
      <w:r w:rsidR="00C35941" w:rsidRPr="00DE7930">
        <w:rPr>
          <w:rFonts w:ascii="Times New Roman" w:hAnsi="Times New Roman" w:cs="Times New Roman"/>
          <w:sz w:val="24"/>
          <w:szCs w:val="24"/>
        </w:rPr>
        <w:t xml:space="preserve"> This finding was preceded </w:t>
      </w:r>
      <w:r w:rsidR="005F3AD5" w:rsidRPr="00DE7930">
        <w:rPr>
          <w:rFonts w:ascii="Times New Roman" w:hAnsi="Times New Roman" w:cs="Times New Roman"/>
          <w:sz w:val="24"/>
          <w:szCs w:val="24"/>
        </w:rPr>
        <w:t>by Colli</w:t>
      </w:r>
      <w:r w:rsidR="00C35941" w:rsidRPr="00DE7930">
        <w:rPr>
          <w:rFonts w:ascii="Times New Roman" w:hAnsi="Times New Roman" w:cs="Times New Roman"/>
          <w:sz w:val="24"/>
          <w:szCs w:val="24"/>
        </w:rPr>
        <w:t>er and Goderis (2007) with a study that checked for causality.</w:t>
      </w:r>
      <w:r w:rsidR="00733515" w:rsidRPr="00DE7930">
        <w:rPr>
          <w:rFonts w:ascii="Times New Roman" w:hAnsi="Times New Roman" w:cs="Times New Roman"/>
          <w:sz w:val="24"/>
          <w:szCs w:val="24"/>
        </w:rPr>
        <w:t xml:space="preserve"> The panel data study found</w:t>
      </w:r>
      <w:r w:rsidR="00C35941" w:rsidRPr="00DE7930">
        <w:rPr>
          <w:rFonts w:ascii="Times New Roman" w:hAnsi="Times New Roman" w:cs="Times New Roman"/>
          <w:sz w:val="24"/>
          <w:szCs w:val="24"/>
        </w:rPr>
        <w:t xml:space="preserve"> no</w:t>
      </w:r>
      <w:r w:rsidR="005F3AD5" w:rsidRPr="00DE7930">
        <w:rPr>
          <w:rFonts w:ascii="Times New Roman" w:hAnsi="Times New Roman" w:cs="Times New Roman"/>
          <w:sz w:val="24"/>
          <w:szCs w:val="24"/>
        </w:rPr>
        <w:t xml:space="preserve"> statistically si</w:t>
      </w:r>
      <w:r w:rsidR="00C35941" w:rsidRPr="00DE7930">
        <w:rPr>
          <w:rFonts w:ascii="Times New Roman" w:hAnsi="Times New Roman" w:cs="Times New Roman"/>
          <w:sz w:val="24"/>
          <w:szCs w:val="24"/>
        </w:rPr>
        <w:t xml:space="preserve">gnificant evidence that natural </w:t>
      </w:r>
      <w:r w:rsidR="00733515" w:rsidRPr="00DE7930">
        <w:rPr>
          <w:rFonts w:ascii="Times New Roman" w:hAnsi="Times New Roman" w:cs="Times New Roman"/>
          <w:sz w:val="24"/>
          <w:szCs w:val="24"/>
        </w:rPr>
        <w:t>resources impact negatively on</w:t>
      </w:r>
      <w:r w:rsidR="00C35941" w:rsidRPr="00DE7930">
        <w:rPr>
          <w:rFonts w:ascii="Times New Roman" w:hAnsi="Times New Roman" w:cs="Times New Roman"/>
          <w:sz w:val="24"/>
          <w:szCs w:val="24"/>
        </w:rPr>
        <w:t xml:space="preserve"> governance or institutional </w:t>
      </w:r>
      <w:r w:rsidR="005F3AD5" w:rsidRPr="00DE7930">
        <w:rPr>
          <w:rFonts w:ascii="Times New Roman" w:hAnsi="Times New Roman" w:cs="Times New Roman"/>
          <w:sz w:val="24"/>
          <w:szCs w:val="24"/>
        </w:rPr>
        <w:t>quali</w:t>
      </w:r>
      <w:r w:rsidR="00733515" w:rsidRPr="00DE7930">
        <w:rPr>
          <w:rFonts w:ascii="Times New Roman" w:hAnsi="Times New Roman" w:cs="Times New Roman"/>
          <w:sz w:val="24"/>
          <w:szCs w:val="24"/>
        </w:rPr>
        <w:t>ty, but the opposite was confirmed.</w:t>
      </w:r>
    </w:p>
    <w:p w:rsidR="00944FA5" w:rsidRDefault="00944FA5" w:rsidP="00DE7930">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DE7930">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DE7930">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DE7930">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DE7930">
      <w:pPr>
        <w:autoSpaceDE w:val="0"/>
        <w:autoSpaceDN w:val="0"/>
        <w:adjustRightInd w:val="0"/>
        <w:spacing w:after="0" w:line="480" w:lineRule="auto"/>
        <w:ind w:firstLine="540"/>
        <w:jc w:val="both"/>
        <w:rPr>
          <w:rFonts w:ascii="Times New Roman" w:hAnsi="Times New Roman" w:cs="Times New Roman"/>
          <w:sz w:val="24"/>
          <w:szCs w:val="24"/>
        </w:rPr>
      </w:pPr>
    </w:p>
    <w:p w:rsidR="00627BF7" w:rsidRPr="00DE7930" w:rsidRDefault="00627BF7" w:rsidP="008C0809">
      <w:pPr>
        <w:autoSpaceDE w:val="0"/>
        <w:autoSpaceDN w:val="0"/>
        <w:adjustRightInd w:val="0"/>
        <w:spacing w:after="0" w:line="480" w:lineRule="auto"/>
        <w:jc w:val="both"/>
        <w:rPr>
          <w:rFonts w:ascii="Times New Roman" w:hAnsi="Times New Roman" w:cs="Times New Roman"/>
          <w:sz w:val="24"/>
          <w:szCs w:val="24"/>
        </w:rPr>
      </w:pPr>
    </w:p>
    <w:p w:rsidR="00DC7994" w:rsidRPr="008E3213" w:rsidRDefault="00DC7994" w:rsidP="00DE7930">
      <w:pPr>
        <w:autoSpaceDE w:val="0"/>
        <w:autoSpaceDN w:val="0"/>
        <w:adjustRightInd w:val="0"/>
        <w:spacing w:after="0" w:line="480" w:lineRule="auto"/>
        <w:ind w:firstLine="540"/>
        <w:jc w:val="both"/>
        <w:rPr>
          <w:rFonts w:ascii="Times New Roman" w:hAnsi="Times New Roman" w:cs="Times New Roman"/>
          <w:i/>
          <w:sz w:val="28"/>
          <w:szCs w:val="28"/>
          <w:u w:val="single"/>
        </w:rPr>
      </w:pPr>
      <w:r w:rsidRPr="008E3213">
        <w:rPr>
          <w:rFonts w:ascii="Times New Roman" w:hAnsi="Times New Roman" w:cs="Times New Roman"/>
          <w:i/>
          <w:sz w:val="28"/>
          <w:szCs w:val="28"/>
          <w:u w:val="single"/>
        </w:rPr>
        <w:lastRenderedPageBreak/>
        <w:t>Data and Methodology</w:t>
      </w:r>
    </w:p>
    <w:p w:rsidR="00DC7994" w:rsidRPr="00DE7930" w:rsidRDefault="00A142E4" w:rsidP="00D17B43">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The </w:t>
      </w:r>
      <w:r w:rsidR="00DC7994" w:rsidRPr="00DE7930">
        <w:rPr>
          <w:rFonts w:ascii="Times New Roman" w:hAnsi="Times New Roman" w:cs="Times New Roman"/>
          <w:sz w:val="24"/>
          <w:szCs w:val="24"/>
        </w:rPr>
        <w:t>research is based on literature review, data analysis and statistical analysis for relationships between variables. The theory states that</w:t>
      </w:r>
      <w:r w:rsidR="00460142">
        <w:rPr>
          <w:rFonts w:ascii="Times New Roman" w:hAnsi="Times New Roman" w:cs="Times New Roman"/>
          <w:sz w:val="24"/>
          <w:szCs w:val="24"/>
        </w:rPr>
        <w:t xml:space="preserve"> </w:t>
      </w:r>
      <w:r>
        <w:rPr>
          <w:rFonts w:ascii="Times New Roman" w:hAnsi="Times New Roman" w:cs="Times New Roman"/>
          <w:sz w:val="24"/>
          <w:szCs w:val="24"/>
        </w:rPr>
        <w:t>RER</w:t>
      </w:r>
      <w:r w:rsidR="00460142">
        <w:rPr>
          <w:rFonts w:ascii="Times New Roman" w:hAnsi="Times New Roman" w:cs="Times New Roman"/>
          <w:sz w:val="24"/>
          <w:szCs w:val="24"/>
        </w:rPr>
        <w:t xml:space="preserve"> appreciates</w:t>
      </w:r>
      <w:r w:rsidR="00DC7994" w:rsidRPr="00DE7930">
        <w:rPr>
          <w:rFonts w:ascii="Times New Roman" w:hAnsi="Times New Roman" w:cs="Times New Roman"/>
          <w:sz w:val="24"/>
          <w:szCs w:val="24"/>
        </w:rPr>
        <w:t>,</w:t>
      </w:r>
      <w:r w:rsidR="00460142">
        <w:rPr>
          <w:rFonts w:ascii="Times New Roman" w:hAnsi="Times New Roman" w:cs="Times New Roman"/>
          <w:sz w:val="24"/>
          <w:szCs w:val="24"/>
        </w:rPr>
        <w:t xml:space="preserve"> inflation rate rise,</w:t>
      </w:r>
      <w:r w:rsidR="00DC7994" w:rsidRPr="00DE7930">
        <w:rPr>
          <w:rFonts w:ascii="Times New Roman" w:hAnsi="Times New Roman" w:cs="Times New Roman"/>
          <w:sz w:val="24"/>
          <w:szCs w:val="24"/>
        </w:rPr>
        <w:t xml:space="preserve"> manufacturing sector</w:t>
      </w:r>
      <w:r w:rsidR="00460142">
        <w:rPr>
          <w:rFonts w:ascii="Times New Roman" w:hAnsi="Times New Roman" w:cs="Times New Roman"/>
          <w:sz w:val="24"/>
          <w:szCs w:val="24"/>
        </w:rPr>
        <w:t xml:space="preserve"> declines</w:t>
      </w:r>
      <w:r w:rsidR="00DC7994" w:rsidRPr="00DE7930">
        <w:rPr>
          <w:rFonts w:ascii="Times New Roman" w:hAnsi="Times New Roman" w:cs="Times New Roman"/>
          <w:sz w:val="24"/>
          <w:szCs w:val="24"/>
        </w:rPr>
        <w:t>, labour shifts between tradable and non-tradable sectors and the country’s economic dependence on natural r</w:t>
      </w:r>
      <w:r w:rsidR="00C678C2">
        <w:rPr>
          <w:rFonts w:ascii="Times New Roman" w:hAnsi="Times New Roman" w:cs="Times New Roman"/>
          <w:sz w:val="24"/>
          <w:szCs w:val="24"/>
        </w:rPr>
        <w:t>esources or financial aid</w:t>
      </w:r>
      <w:r w:rsidR="00DC7994" w:rsidRPr="00DE7930">
        <w:rPr>
          <w:rFonts w:ascii="Times New Roman" w:hAnsi="Times New Roman" w:cs="Times New Roman"/>
          <w:sz w:val="24"/>
          <w:szCs w:val="24"/>
        </w:rPr>
        <w:t xml:space="preserve"> are all </w:t>
      </w:r>
      <w:r w:rsidR="00D17B43">
        <w:rPr>
          <w:rFonts w:ascii="Times New Roman" w:hAnsi="Times New Roman" w:cs="Times New Roman"/>
          <w:sz w:val="24"/>
          <w:szCs w:val="24"/>
        </w:rPr>
        <w:t xml:space="preserve">potential </w:t>
      </w:r>
      <w:r w:rsidR="00DC7994" w:rsidRPr="00DE7930">
        <w:rPr>
          <w:rFonts w:ascii="Times New Roman" w:hAnsi="Times New Roman" w:cs="Times New Roman"/>
          <w:sz w:val="24"/>
          <w:szCs w:val="24"/>
        </w:rPr>
        <w:t>consequences of Dutch Disease</w:t>
      </w:r>
      <w:r w:rsidR="00D17B43">
        <w:rPr>
          <w:rFonts w:ascii="Times New Roman" w:hAnsi="Times New Roman" w:cs="Times New Roman"/>
          <w:sz w:val="24"/>
          <w:szCs w:val="24"/>
        </w:rPr>
        <w:t xml:space="preserve"> for a small open economy</w:t>
      </w:r>
      <w:r w:rsidR="00DC7994" w:rsidRPr="00DE7930">
        <w:rPr>
          <w:rFonts w:ascii="Times New Roman" w:hAnsi="Times New Roman" w:cs="Times New Roman"/>
          <w:sz w:val="24"/>
          <w:szCs w:val="24"/>
        </w:rPr>
        <w:t>.</w:t>
      </w:r>
      <w:r w:rsidR="00D17B43">
        <w:rPr>
          <w:rFonts w:ascii="Times New Roman" w:hAnsi="Times New Roman" w:cs="Times New Roman"/>
          <w:sz w:val="24"/>
          <w:szCs w:val="24"/>
        </w:rPr>
        <w:t xml:space="preserve">  </w:t>
      </w:r>
      <w:r w:rsidR="00E66095">
        <w:rPr>
          <w:rFonts w:ascii="Times New Roman" w:hAnsi="Times New Roman" w:cs="Times New Roman"/>
          <w:sz w:val="24"/>
          <w:szCs w:val="24"/>
        </w:rPr>
        <w:t>F</w:t>
      </w:r>
      <w:r w:rsidR="00DC7994" w:rsidRPr="00DE7930">
        <w:rPr>
          <w:rFonts w:ascii="Times New Roman" w:hAnsi="Times New Roman" w:cs="Times New Roman"/>
          <w:sz w:val="24"/>
          <w:szCs w:val="24"/>
        </w:rPr>
        <w:t>irst</w:t>
      </w:r>
      <w:r w:rsidR="00E66095">
        <w:rPr>
          <w:rFonts w:ascii="Times New Roman" w:hAnsi="Times New Roman" w:cs="Times New Roman"/>
          <w:sz w:val="24"/>
          <w:szCs w:val="24"/>
        </w:rPr>
        <w:t>ly,</w:t>
      </w:r>
      <w:r w:rsidR="00DC7994" w:rsidRPr="00DE7930">
        <w:rPr>
          <w:rFonts w:ascii="Times New Roman" w:hAnsi="Times New Roman" w:cs="Times New Roman"/>
          <w:sz w:val="24"/>
          <w:szCs w:val="24"/>
        </w:rPr>
        <w:t xml:space="preserve"> </w:t>
      </w:r>
      <w:r w:rsidR="00E66095">
        <w:rPr>
          <w:rFonts w:ascii="Times New Roman" w:hAnsi="Times New Roman" w:cs="Times New Roman"/>
          <w:sz w:val="24"/>
          <w:szCs w:val="24"/>
        </w:rPr>
        <w:t>the paper</w:t>
      </w:r>
      <w:r w:rsidR="00DC7994" w:rsidRPr="00DE7930">
        <w:rPr>
          <w:rFonts w:ascii="Times New Roman" w:hAnsi="Times New Roman" w:cs="Times New Roman"/>
          <w:sz w:val="24"/>
          <w:szCs w:val="24"/>
        </w:rPr>
        <w:t xml:space="preserve"> </w:t>
      </w:r>
      <w:r w:rsidR="00E66095">
        <w:rPr>
          <w:rFonts w:ascii="Times New Roman" w:hAnsi="Times New Roman" w:cs="Times New Roman"/>
          <w:sz w:val="24"/>
          <w:szCs w:val="24"/>
        </w:rPr>
        <w:t>analyse</w:t>
      </w:r>
      <w:r w:rsidR="00E66095" w:rsidRPr="00DE7930">
        <w:rPr>
          <w:rFonts w:ascii="Times New Roman" w:hAnsi="Times New Roman" w:cs="Times New Roman"/>
          <w:sz w:val="24"/>
          <w:szCs w:val="24"/>
        </w:rPr>
        <w:t xml:space="preserve">s </w:t>
      </w:r>
      <w:r w:rsidR="00E66095">
        <w:rPr>
          <w:rFonts w:ascii="Times New Roman" w:hAnsi="Times New Roman" w:cs="Times New Roman"/>
          <w:sz w:val="24"/>
          <w:szCs w:val="24"/>
        </w:rPr>
        <w:t>the economy for signs of DD, taking a closer look at</w:t>
      </w:r>
      <w:r w:rsidR="00DC7994" w:rsidRPr="00DE7930">
        <w:rPr>
          <w:rFonts w:ascii="Times New Roman" w:hAnsi="Times New Roman" w:cs="Times New Roman"/>
          <w:sz w:val="24"/>
          <w:szCs w:val="24"/>
        </w:rPr>
        <w:t xml:space="preserve"> the</w:t>
      </w:r>
      <w:r w:rsidR="00E66095">
        <w:rPr>
          <w:rFonts w:ascii="Times New Roman" w:hAnsi="Times New Roman" w:cs="Times New Roman"/>
          <w:sz w:val="24"/>
          <w:szCs w:val="24"/>
        </w:rPr>
        <w:t xml:space="preserve"> above mentioned statistics</w:t>
      </w:r>
      <w:r w:rsidR="008E3213">
        <w:rPr>
          <w:rFonts w:ascii="Times New Roman" w:hAnsi="Times New Roman" w:cs="Times New Roman"/>
          <w:sz w:val="24"/>
          <w:szCs w:val="24"/>
        </w:rPr>
        <w:t>.</w:t>
      </w:r>
    </w:p>
    <w:p w:rsidR="00DC7994" w:rsidRDefault="00DC7994" w:rsidP="008E3213">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sz w:val="24"/>
          <w:szCs w:val="24"/>
        </w:rPr>
        <w:t xml:space="preserve">The second </w:t>
      </w:r>
      <w:r w:rsidR="00E66095" w:rsidRPr="00DE7930">
        <w:rPr>
          <w:rFonts w:ascii="Times New Roman" w:hAnsi="Times New Roman" w:cs="Times New Roman"/>
          <w:sz w:val="24"/>
          <w:szCs w:val="24"/>
        </w:rPr>
        <w:t>inquiry</w:t>
      </w:r>
      <w:r w:rsidRPr="00DE7930">
        <w:rPr>
          <w:rFonts w:ascii="Times New Roman" w:hAnsi="Times New Roman" w:cs="Times New Roman"/>
          <w:sz w:val="24"/>
          <w:szCs w:val="24"/>
        </w:rPr>
        <w:t xml:space="preserve"> of the pap</w:t>
      </w:r>
      <w:r w:rsidR="00A65CA8">
        <w:rPr>
          <w:rFonts w:ascii="Times New Roman" w:hAnsi="Times New Roman" w:cs="Times New Roman"/>
          <w:sz w:val="24"/>
          <w:szCs w:val="24"/>
        </w:rPr>
        <w:t>er is an empirical analysis</w:t>
      </w:r>
      <w:r w:rsidR="00862AF3">
        <w:rPr>
          <w:rFonts w:ascii="Times New Roman" w:hAnsi="Times New Roman" w:cs="Times New Roman"/>
          <w:sz w:val="24"/>
          <w:szCs w:val="24"/>
        </w:rPr>
        <w:t>:</w:t>
      </w:r>
      <w:r w:rsidRPr="00DE7930">
        <w:rPr>
          <w:rFonts w:ascii="Times New Roman" w:hAnsi="Times New Roman" w:cs="Times New Roman"/>
          <w:sz w:val="24"/>
          <w:szCs w:val="24"/>
        </w:rPr>
        <w:t xml:space="preserve"> a </w:t>
      </w:r>
      <w:r w:rsidR="008E3213">
        <w:rPr>
          <w:rFonts w:ascii="Times New Roman" w:hAnsi="Times New Roman" w:cs="Times New Roman"/>
          <w:sz w:val="24"/>
          <w:szCs w:val="24"/>
        </w:rPr>
        <w:t xml:space="preserve">VECM </w:t>
      </w:r>
      <w:r w:rsidRPr="00DE7930">
        <w:rPr>
          <w:rFonts w:ascii="Times New Roman" w:hAnsi="Times New Roman" w:cs="Times New Roman"/>
          <w:sz w:val="24"/>
          <w:szCs w:val="24"/>
        </w:rPr>
        <w:t>regression</w:t>
      </w:r>
      <w:r w:rsidR="00862AF3">
        <w:rPr>
          <w:rFonts w:ascii="Times New Roman" w:hAnsi="Times New Roman" w:cs="Times New Roman"/>
          <w:sz w:val="24"/>
          <w:szCs w:val="24"/>
        </w:rPr>
        <w:t xml:space="preserve"> on </w:t>
      </w:r>
      <w:r w:rsidR="008E3213">
        <w:rPr>
          <w:rFonts w:ascii="Times New Roman" w:hAnsi="Times New Roman" w:cs="Times New Roman"/>
          <w:sz w:val="24"/>
          <w:szCs w:val="24"/>
        </w:rPr>
        <w:t>REER</w:t>
      </w:r>
      <w:r w:rsidRPr="00DE7930">
        <w:rPr>
          <w:rFonts w:ascii="Times New Roman" w:hAnsi="Times New Roman" w:cs="Times New Roman"/>
          <w:sz w:val="24"/>
          <w:szCs w:val="24"/>
        </w:rPr>
        <w:t>. The</w:t>
      </w:r>
      <w:r w:rsidR="00862AF3">
        <w:rPr>
          <w:rFonts w:ascii="Times New Roman" w:hAnsi="Times New Roman" w:cs="Times New Roman"/>
          <w:sz w:val="24"/>
          <w:szCs w:val="24"/>
        </w:rPr>
        <w:t xml:space="preserve"> VECM</w:t>
      </w:r>
      <w:r w:rsidRPr="00DE7930">
        <w:rPr>
          <w:rFonts w:ascii="Times New Roman" w:hAnsi="Times New Roman" w:cs="Times New Roman"/>
          <w:sz w:val="24"/>
          <w:szCs w:val="24"/>
        </w:rPr>
        <w:t xml:space="preserve"> regression</w:t>
      </w:r>
      <w:r w:rsidR="00862AF3">
        <w:rPr>
          <w:rFonts w:ascii="Times New Roman" w:hAnsi="Times New Roman" w:cs="Times New Roman"/>
          <w:sz w:val="24"/>
          <w:szCs w:val="24"/>
        </w:rPr>
        <w:t>s</w:t>
      </w:r>
      <w:r w:rsidRPr="00DE7930">
        <w:rPr>
          <w:rFonts w:ascii="Times New Roman" w:hAnsi="Times New Roman" w:cs="Times New Roman"/>
          <w:sz w:val="24"/>
          <w:szCs w:val="24"/>
        </w:rPr>
        <w:t xml:space="preserve"> show</w:t>
      </w:r>
      <w:r w:rsidR="00637DA6">
        <w:rPr>
          <w:rFonts w:ascii="Times New Roman" w:hAnsi="Times New Roman" w:cs="Times New Roman"/>
          <w:sz w:val="24"/>
          <w:szCs w:val="24"/>
        </w:rPr>
        <w:t>s</w:t>
      </w:r>
      <w:r w:rsidRPr="00DE7930">
        <w:rPr>
          <w:rFonts w:ascii="Times New Roman" w:hAnsi="Times New Roman" w:cs="Times New Roman"/>
          <w:sz w:val="24"/>
          <w:szCs w:val="24"/>
        </w:rPr>
        <w:t xml:space="preserve"> the causality between </w:t>
      </w:r>
      <w:r w:rsidR="00956238" w:rsidRPr="00DE7930">
        <w:rPr>
          <w:rFonts w:ascii="Times New Roman" w:hAnsi="Times New Roman" w:cs="Times New Roman"/>
          <w:sz w:val="24"/>
          <w:szCs w:val="24"/>
        </w:rPr>
        <w:t xml:space="preserve">real </w:t>
      </w:r>
      <w:r w:rsidR="00D17B43">
        <w:rPr>
          <w:rFonts w:ascii="Times New Roman" w:hAnsi="Times New Roman" w:cs="Times New Roman"/>
          <w:sz w:val="24"/>
          <w:szCs w:val="24"/>
        </w:rPr>
        <w:t xml:space="preserve">effective </w:t>
      </w:r>
      <w:r w:rsidR="00956238" w:rsidRPr="00DE7930">
        <w:rPr>
          <w:rFonts w:ascii="Times New Roman" w:hAnsi="Times New Roman" w:cs="Times New Roman"/>
          <w:sz w:val="24"/>
          <w:szCs w:val="24"/>
        </w:rPr>
        <w:t>exchange rate</w:t>
      </w:r>
      <w:r w:rsidR="00D17B43">
        <w:rPr>
          <w:rFonts w:ascii="Times New Roman" w:hAnsi="Times New Roman" w:cs="Times New Roman"/>
          <w:sz w:val="24"/>
          <w:szCs w:val="24"/>
        </w:rPr>
        <w:t xml:space="preserve"> (REER)</w:t>
      </w:r>
      <w:r w:rsidR="00956238" w:rsidRPr="00DE7930">
        <w:rPr>
          <w:rFonts w:ascii="Times New Roman" w:hAnsi="Times New Roman" w:cs="Times New Roman"/>
          <w:sz w:val="24"/>
          <w:szCs w:val="24"/>
        </w:rPr>
        <w:t>,</w:t>
      </w:r>
      <w:r w:rsidR="00D17B43">
        <w:rPr>
          <w:rFonts w:ascii="Times New Roman" w:hAnsi="Times New Roman" w:cs="Times New Roman"/>
          <w:sz w:val="24"/>
          <w:szCs w:val="24"/>
        </w:rPr>
        <w:t xml:space="preserve"> </w:t>
      </w:r>
      <w:r w:rsidR="00D17B43" w:rsidRPr="00DE7930">
        <w:rPr>
          <w:rFonts w:ascii="Times New Roman" w:hAnsi="Times New Roman" w:cs="Times New Roman"/>
          <w:sz w:val="24"/>
          <w:szCs w:val="24"/>
        </w:rPr>
        <w:t>remittance</w:t>
      </w:r>
      <w:r w:rsidR="00D17B43">
        <w:rPr>
          <w:rFonts w:ascii="Times New Roman" w:hAnsi="Times New Roman" w:cs="Times New Roman"/>
          <w:sz w:val="24"/>
          <w:szCs w:val="24"/>
        </w:rPr>
        <w:t>s inflow into RA,</w:t>
      </w:r>
      <w:r w:rsidR="00956238" w:rsidRPr="00DE7930">
        <w:rPr>
          <w:rFonts w:ascii="Times New Roman" w:hAnsi="Times New Roman" w:cs="Times New Roman"/>
          <w:sz w:val="24"/>
          <w:szCs w:val="24"/>
        </w:rPr>
        <w:t xml:space="preserve"> government investment</w:t>
      </w:r>
      <w:r w:rsidRPr="00DE7930">
        <w:rPr>
          <w:rFonts w:ascii="Times New Roman" w:hAnsi="Times New Roman" w:cs="Times New Roman"/>
          <w:sz w:val="24"/>
          <w:szCs w:val="24"/>
        </w:rPr>
        <w:t>, m</w:t>
      </w:r>
      <w:r w:rsidR="00D17B43">
        <w:rPr>
          <w:rFonts w:ascii="Times New Roman" w:hAnsi="Times New Roman" w:cs="Times New Roman"/>
          <w:sz w:val="24"/>
          <w:szCs w:val="24"/>
        </w:rPr>
        <w:t>ining production, copper prices, governmental investment in assets (GIA), broad money, net foreign assets (NFA)</w:t>
      </w:r>
      <w:r w:rsidRPr="00DE7930">
        <w:rPr>
          <w:rFonts w:ascii="Times New Roman" w:hAnsi="Times New Roman" w:cs="Times New Roman"/>
          <w:sz w:val="24"/>
          <w:szCs w:val="24"/>
        </w:rPr>
        <w:t xml:space="preserve"> and other variables. The model</w:t>
      </w:r>
      <w:r w:rsidR="00862AF3">
        <w:rPr>
          <w:rFonts w:ascii="Times New Roman" w:hAnsi="Times New Roman" w:cs="Times New Roman"/>
          <w:sz w:val="24"/>
          <w:szCs w:val="24"/>
        </w:rPr>
        <w:t>s</w:t>
      </w:r>
      <w:r w:rsidRPr="00DE7930">
        <w:rPr>
          <w:rFonts w:ascii="Times New Roman" w:hAnsi="Times New Roman" w:cs="Times New Roman"/>
          <w:sz w:val="24"/>
          <w:szCs w:val="24"/>
        </w:rPr>
        <w:t xml:space="preserve"> will also show the short term and long term relationships of the variables.</w:t>
      </w:r>
      <w:r w:rsidR="00C533B6">
        <w:rPr>
          <w:rFonts w:ascii="Times New Roman" w:hAnsi="Times New Roman" w:cs="Times New Roman"/>
          <w:sz w:val="24"/>
          <w:szCs w:val="24"/>
        </w:rPr>
        <w:t xml:space="preserve">  </w:t>
      </w:r>
      <w:r w:rsidRPr="00DE7930">
        <w:rPr>
          <w:rFonts w:ascii="Times New Roman" w:hAnsi="Times New Roman" w:cs="Times New Roman"/>
          <w:sz w:val="24"/>
          <w:szCs w:val="24"/>
        </w:rPr>
        <w:t>The data collected</w:t>
      </w:r>
      <w:r w:rsidR="008E3213">
        <w:rPr>
          <w:rFonts w:ascii="Times New Roman" w:hAnsi="Times New Roman" w:cs="Times New Roman"/>
          <w:sz w:val="24"/>
          <w:szCs w:val="24"/>
        </w:rPr>
        <w:t xml:space="preserve"> </w:t>
      </w:r>
      <w:r w:rsidR="008E3213" w:rsidRPr="00DE7930">
        <w:rPr>
          <w:rFonts w:ascii="Times New Roman" w:hAnsi="Times New Roman" w:cs="Times New Roman"/>
          <w:sz w:val="24"/>
          <w:szCs w:val="24"/>
        </w:rPr>
        <w:t>for the first analysis is annual data from the years 1995 to 2013</w:t>
      </w:r>
      <w:r w:rsidR="008E3213">
        <w:rPr>
          <w:rFonts w:ascii="Times New Roman" w:hAnsi="Times New Roman" w:cs="Times New Roman"/>
          <w:sz w:val="24"/>
          <w:szCs w:val="24"/>
        </w:rPr>
        <w:t>,</w:t>
      </w:r>
      <w:r w:rsidRPr="00DE7930">
        <w:rPr>
          <w:rFonts w:ascii="Times New Roman" w:hAnsi="Times New Roman" w:cs="Times New Roman"/>
          <w:sz w:val="24"/>
          <w:szCs w:val="24"/>
        </w:rPr>
        <w:t xml:space="preserve"> for the empirical </w:t>
      </w:r>
      <w:r w:rsidR="008E3213" w:rsidRPr="00DE7930">
        <w:rPr>
          <w:rFonts w:ascii="Times New Roman" w:hAnsi="Times New Roman" w:cs="Times New Roman"/>
          <w:sz w:val="24"/>
          <w:szCs w:val="24"/>
        </w:rPr>
        <w:t>analyses</w:t>
      </w:r>
      <w:r w:rsidR="008E3213">
        <w:rPr>
          <w:rFonts w:ascii="Times New Roman" w:hAnsi="Times New Roman" w:cs="Times New Roman"/>
          <w:sz w:val="24"/>
          <w:szCs w:val="24"/>
        </w:rPr>
        <w:t xml:space="preserve"> -</w:t>
      </w:r>
      <w:r w:rsidRPr="00DE7930">
        <w:rPr>
          <w:rFonts w:ascii="Times New Roman" w:hAnsi="Times New Roman" w:cs="Times New Roman"/>
          <w:sz w:val="24"/>
          <w:szCs w:val="24"/>
        </w:rPr>
        <w:t xml:space="preserve"> quarterly data from the years 2000 to 2014.  </w:t>
      </w:r>
      <w:r w:rsidR="008E3213">
        <w:rPr>
          <w:rFonts w:ascii="Times New Roman" w:hAnsi="Times New Roman" w:cs="Times New Roman"/>
          <w:sz w:val="24"/>
          <w:szCs w:val="24"/>
        </w:rPr>
        <w:t>Data sources are</w:t>
      </w:r>
      <w:r w:rsidR="00DB0175">
        <w:rPr>
          <w:rFonts w:ascii="Times New Roman" w:hAnsi="Times New Roman" w:cs="Times New Roman"/>
          <w:sz w:val="24"/>
          <w:szCs w:val="24"/>
        </w:rPr>
        <w:t xml:space="preserve"> Central Bank of Armenia,</w:t>
      </w:r>
      <w:r w:rsidRPr="00DE7930">
        <w:rPr>
          <w:rFonts w:ascii="Times New Roman" w:hAnsi="Times New Roman" w:cs="Times New Roman"/>
          <w:sz w:val="24"/>
          <w:szCs w:val="24"/>
        </w:rPr>
        <w:t xml:space="preserve"> t</w:t>
      </w:r>
      <w:r w:rsidR="00D17B43">
        <w:rPr>
          <w:rFonts w:ascii="Times New Roman" w:hAnsi="Times New Roman" w:cs="Times New Roman"/>
          <w:sz w:val="24"/>
          <w:szCs w:val="24"/>
        </w:rPr>
        <w:t xml:space="preserve">he National Statistical Service </w:t>
      </w:r>
      <w:r w:rsidRPr="00DE7930">
        <w:rPr>
          <w:rFonts w:ascii="Times New Roman" w:hAnsi="Times New Roman" w:cs="Times New Roman"/>
          <w:sz w:val="24"/>
          <w:szCs w:val="24"/>
        </w:rPr>
        <w:t>Republic of Armenia (NSSRA), World Bank</w:t>
      </w:r>
      <w:r w:rsidR="00DF2A2B">
        <w:rPr>
          <w:rFonts w:ascii="Times New Roman" w:hAnsi="Times New Roman" w:cs="Times New Roman"/>
          <w:sz w:val="24"/>
          <w:szCs w:val="24"/>
        </w:rPr>
        <w:t xml:space="preserve"> Database</w:t>
      </w:r>
      <w:r w:rsidRPr="00DE7930">
        <w:rPr>
          <w:rFonts w:ascii="Times New Roman" w:hAnsi="Times New Roman" w:cs="Times New Roman"/>
          <w:sz w:val="24"/>
          <w:szCs w:val="24"/>
        </w:rPr>
        <w:t>, Asian Development Bank and IMF sources.</w:t>
      </w:r>
    </w:p>
    <w:p w:rsidR="00944FA5" w:rsidRDefault="00944FA5" w:rsidP="008E3213">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8E3213">
      <w:pPr>
        <w:autoSpaceDE w:val="0"/>
        <w:autoSpaceDN w:val="0"/>
        <w:adjustRightInd w:val="0"/>
        <w:spacing w:after="0" w:line="480" w:lineRule="auto"/>
        <w:ind w:firstLine="540"/>
        <w:jc w:val="both"/>
        <w:rPr>
          <w:rFonts w:ascii="Times New Roman" w:hAnsi="Times New Roman" w:cs="Times New Roman"/>
          <w:sz w:val="24"/>
          <w:szCs w:val="24"/>
        </w:rPr>
      </w:pPr>
    </w:p>
    <w:p w:rsidR="00944FA5" w:rsidRDefault="00944FA5" w:rsidP="008E3213">
      <w:pPr>
        <w:autoSpaceDE w:val="0"/>
        <w:autoSpaceDN w:val="0"/>
        <w:adjustRightInd w:val="0"/>
        <w:spacing w:after="0" w:line="480" w:lineRule="auto"/>
        <w:ind w:firstLine="540"/>
        <w:jc w:val="both"/>
        <w:rPr>
          <w:rFonts w:ascii="Times New Roman" w:hAnsi="Times New Roman" w:cs="Times New Roman"/>
          <w:sz w:val="24"/>
          <w:szCs w:val="24"/>
        </w:rPr>
      </w:pPr>
    </w:p>
    <w:p w:rsidR="00AE5700" w:rsidRDefault="00AE5700" w:rsidP="008E3213">
      <w:pPr>
        <w:autoSpaceDE w:val="0"/>
        <w:autoSpaceDN w:val="0"/>
        <w:adjustRightInd w:val="0"/>
        <w:spacing w:after="0" w:line="480" w:lineRule="auto"/>
        <w:ind w:firstLine="540"/>
        <w:jc w:val="both"/>
        <w:rPr>
          <w:rFonts w:ascii="Times New Roman" w:hAnsi="Times New Roman" w:cs="Times New Roman"/>
          <w:sz w:val="24"/>
          <w:szCs w:val="24"/>
        </w:rPr>
      </w:pPr>
    </w:p>
    <w:p w:rsidR="00AE5700" w:rsidRDefault="00AE5700" w:rsidP="008E3213">
      <w:pPr>
        <w:autoSpaceDE w:val="0"/>
        <w:autoSpaceDN w:val="0"/>
        <w:adjustRightInd w:val="0"/>
        <w:spacing w:after="0" w:line="480" w:lineRule="auto"/>
        <w:ind w:firstLine="540"/>
        <w:jc w:val="both"/>
        <w:rPr>
          <w:rFonts w:ascii="Times New Roman" w:hAnsi="Times New Roman" w:cs="Times New Roman"/>
          <w:sz w:val="24"/>
          <w:szCs w:val="24"/>
        </w:rPr>
      </w:pPr>
    </w:p>
    <w:p w:rsidR="00AE5700" w:rsidRDefault="00AE5700" w:rsidP="008E3213">
      <w:pPr>
        <w:autoSpaceDE w:val="0"/>
        <w:autoSpaceDN w:val="0"/>
        <w:adjustRightInd w:val="0"/>
        <w:spacing w:after="0" w:line="480" w:lineRule="auto"/>
        <w:ind w:firstLine="540"/>
        <w:jc w:val="both"/>
        <w:rPr>
          <w:rFonts w:ascii="Times New Roman" w:hAnsi="Times New Roman" w:cs="Times New Roman"/>
          <w:sz w:val="24"/>
          <w:szCs w:val="24"/>
        </w:rPr>
      </w:pPr>
    </w:p>
    <w:p w:rsidR="00AE5700" w:rsidRDefault="00AE5700" w:rsidP="008E3213">
      <w:pPr>
        <w:autoSpaceDE w:val="0"/>
        <w:autoSpaceDN w:val="0"/>
        <w:adjustRightInd w:val="0"/>
        <w:spacing w:after="0" w:line="480" w:lineRule="auto"/>
        <w:ind w:firstLine="540"/>
        <w:jc w:val="both"/>
        <w:rPr>
          <w:rFonts w:ascii="Times New Roman" w:hAnsi="Times New Roman" w:cs="Times New Roman"/>
          <w:sz w:val="24"/>
          <w:szCs w:val="24"/>
        </w:rPr>
      </w:pPr>
    </w:p>
    <w:p w:rsidR="00C678C2" w:rsidRDefault="00C678C2" w:rsidP="008E3213">
      <w:pPr>
        <w:autoSpaceDE w:val="0"/>
        <w:autoSpaceDN w:val="0"/>
        <w:adjustRightInd w:val="0"/>
        <w:spacing w:after="0" w:line="480" w:lineRule="auto"/>
        <w:ind w:firstLine="540"/>
        <w:jc w:val="both"/>
        <w:rPr>
          <w:rFonts w:ascii="Times New Roman" w:hAnsi="Times New Roman" w:cs="Times New Roman"/>
          <w:sz w:val="24"/>
          <w:szCs w:val="24"/>
        </w:rPr>
      </w:pPr>
    </w:p>
    <w:p w:rsidR="00944FA5" w:rsidRPr="00DE7930" w:rsidRDefault="00944FA5" w:rsidP="008E3213">
      <w:pPr>
        <w:autoSpaceDE w:val="0"/>
        <w:autoSpaceDN w:val="0"/>
        <w:adjustRightInd w:val="0"/>
        <w:spacing w:after="0" w:line="480" w:lineRule="auto"/>
        <w:ind w:firstLine="540"/>
        <w:jc w:val="both"/>
        <w:rPr>
          <w:rFonts w:ascii="Times New Roman" w:hAnsi="Times New Roman" w:cs="Times New Roman"/>
          <w:sz w:val="24"/>
          <w:szCs w:val="24"/>
        </w:rPr>
      </w:pPr>
    </w:p>
    <w:p w:rsidR="008D16F2" w:rsidRDefault="007F1258" w:rsidP="00EB4263">
      <w:pPr>
        <w:spacing w:after="0" w:line="480" w:lineRule="auto"/>
        <w:ind w:firstLine="540"/>
        <w:jc w:val="center"/>
        <w:rPr>
          <w:rFonts w:ascii="Times New Roman" w:hAnsi="Times New Roman" w:cs="Times New Roman"/>
          <w:b/>
          <w:sz w:val="24"/>
          <w:szCs w:val="24"/>
        </w:rPr>
      </w:pPr>
      <w:r w:rsidRPr="00192228">
        <w:rPr>
          <w:rFonts w:ascii="Times New Roman" w:hAnsi="Times New Roman" w:cs="Times New Roman"/>
          <w:b/>
          <w:sz w:val="36"/>
          <w:szCs w:val="36"/>
        </w:rPr>
        <w:lastRenderedPageBreak/>
        <w:t>Chapter 2</w:t>
      </w:r>
      <w:r w:rsidR="008D16F2">
        <w:rPr>
          <w:rFonts w:ascii="Times New Roman" w:hAnsi="Times New Roman" w:cs="Times New Roman"/>
          <w:b/>
          <w:sz w:val="36"/>
          <w:szCs w:val="36"/>
        </w:rPr>
        <w:t xml:space="preserve">: </w:t>
      </w:r>
      <w:r w:rsidR="008D16F2" w:rsidRPr="008D16F2">
        <w:rPr>
          <w:rFonts w:ascii="Times New Roman" w:hAnsi="Times New Roman" w:cs="Times New Roman"/>
          <w:b/>
          <w:sz w:val="36"/>
          <w:szCs w:val="36"/>
        </w:rPr>
        <w:t>Diagnostic Analysis</w:t>
      </w:r>
    </w:p>
    <w:p w:rsidR="00EB4263" w:rsidRPr="00EB4263" w:rsidRDefault="00EB4263" w:rsidP="00EB4263">
      <w:pPr>
        <w:spacing w:after="0" w:line="480" w:lineRule="auto"/>
        <w:ind w:firstLine="540"/>
        <w:jc w:val="center"/>
        <w:rPr>
          <w:rFonts w:ascii="Times New Roman" w:hAnsi="Times New Roman" w:cs="Times New Roman"/>
          <w:b/>
          <w:sz w:val="24"/>
          <w:szCs w:val="24"/>
        </w:rPr>
      </w:pPr>
    </w:p>
    <w:p w:rsidR="00DE7930" w:rsidRDefault="00624A48"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The literature review revea</w:t>
      </w:r>
      <w:r w:rsidR="008B1F47">
        <w:rPr>
          <w:rFonts w:ascii="Times New Roman" w:hAnsi="Times New Roman" w:cs="Times New Roman"/>
          <w:sz w:val="24"/>
          <w:szCs w:val="24"/>
        </w:rPr>
        <w:t xml:space="preserve">led theory behind Dutch Disease, such that a small open economy would most likely exhibit spending or movement effect </w:t>
      </w:r>
      <w:r w:rsidR="0086307C">
        <w:rPr>
          <w:rFonts w:ascii="Times New Roman" w:hAnsi="Times New Roman" w:cs="Times New Roman"/>
          <w:sz w:val="24"/>
          <w:szCs w:val="24"/>
        </w:rPr>
        <w:t>behavior</w:t>
      </w:r>
      <w:r w:rsidR="008B1F47">
        <w:rPr>
          <w:rFonts w:ascii="Times New Roman" w:hAnsi="Times New Roman" w:cs="Times New Roman"/>
          <w:sz w:val="24"/>
          <w:szCs w:val="24"/>
        </w:rPr>
        <w:t xml:space="preserve"> (Corden and Neary, </w:t>
      </w:r>
      <w:r w:rsidR="008B1F47" w:rsidRPr="00DE7930">
        <w:rPr>
          <w:rFonts w:ascii="Times New Roman" w:hAnsi="Times New Roman" w:cs="Times New Roman"/>
          <w:sz w:val="24"/>
          <w:szCs w:val="24"/>
        </w:rPr>
        <w:t>1982</w:t>
      </w:r>
      <w:r w:rsidR="008B1F47">
        <w:rPr>
          <w:rFonts w:ascii="Times New Roman" w:hAnsi="Times New Roman" w:cs="Times New Roman"/>
          <w:sz w:val="24"/>
          <w:szCs w:val="24"/>
        </w:rPr>
        <w:t>). Taking into consideration the evidence from countries presenting with DD (IMF, 2005)</w:t>
      </w:r>
      <w:r w:rsidR="00DE7930">
        <w:rPr>
          <w:rFonts w:ascii="Times New Roman" w:hAnsi="Times New Roman" w:cs="Times New Roman"/>
          <w:sz w:val="24"/>
          <w:szCs w:val="24"/>
        </w:rPr>
        <w:t xml:space="preserve"> </w:t>
      </w:r>
      <w:r w:rsidR="00DE7930" w:rsidRPr="00B67571">
        <w:rPr>
          <w:rFonts w:ascii="Times New Roman" w:hAnsi="Times New Roman" w:cs="Times New Roman"/>
          <w:sz w:val="24"/>
          <w:szCs w:val="24"/>
        </w:rPr>
        <w:t>a 5 step diagnosis is conducted in the paper to consider Armenia a candidate of the Dutch Disease. The 5 steps are RE</w:t>
      </w:r>
      <w:r w:rsidR="008B1F47">
        <w:rPr>
          <w:rFonts w:ascii="Times New Roman" w:hAnsi="Times New Roman" w:cs="Times New Roman"/>
          <w:sz w:val="24"/>
          <w:szCs w:val="24"/>
        </w:rPr>
        <w:t>E</w:t>
      </w:r>
      <w:r w:rsidR="00DE7930" w:rsidRPr="00B67571">
        <w:rPr>
          <w:rFonts w:ascii="Times New Roman" w:hAnsi="Times New Roman" w:cs="Times New Roman"/>
          <w:sz w:val="24"/>
          <w:szCs w:val="24"/>
        </w:rPr>
        <w:t>R appreciation</w:t>
      </w:r>
      <w:r w:rsidR="008B1F47">
        <w:rPr>
          <w:rFonts w:ascii="Times New Roman" w:hAnsi="Times New Roman" w:cs="Times New Roman"/>
          <w:sz w:val="24"/>
          <w:szCs w:val="24"/>
        </w:rPr>
        <w:t xml:space="preserve"> analysis</w:t>
      </w:r>
      <w:r w:rsidR="00DE7930" w:rsidRPr="00B67571">
        <w:rPr>
          <w:rFonts w:ascii="Times New Roman" w:hAnsi="Times New Roman" w:cs="Times New Roman"/>
          <w:sz w:val="24"/>
          <w:szCs w:val="24"/>
        </w:rPr>
        <w:t>, inflation</w:t>
      </w:r>
      <w:r w:rsidR="008B1F47">
        <w:rPr>
          <w:rFonts w:ascii="Times New Roman" w:hAnsi="Times New Roman" w:cs="Times New Roman"/>
          <w:sz w:val="24"/>
          <w:szCs w:val="24"/>
        </w:rPr>
        <w:t xml:space="preserve"> rate</w:t>
      </w:r>
      <w:r w:rsidR="00DE7930" w:rsidRPr="00B67571">
        <w:rPr>
          <w:rFonts w:ascii="Times New Roman" w:hAnsi="Times New Roman" w:cs="Times New Roman"/>
          <w:sz w:val="24"/>
          <w:szCs w:val="24"/>
        </w:rPr>
        <w:t>, manufacturin</w:t>
      </w:r>
      <w:r w:rsidR="008B1F47">
        <w:rPr>
          <w:rFonts w:ascii="Times New Roman" w:hAnsi="Times New Roman" w:cs="Times New Roman"/>
          <w:sz w:val="24"/>
          <w:szCs w:val="24"/>
        </w:rPr>
        <w:t>g sector decline, labour shifts analysis</w:t>
      </w:r>
      <w:r w:rsidR="00DE7930" w:rsidRPr="00B67571">
        <w:rPr>
          <w:rFonts w:ascii="Times New Roman" w:hAnsi="Times New Roman" w:cs="Times New Roman"/>
          <w:sz w:val="24"/>
          <w:szCs w:val="24"/>
        </w:rPr>
        <w:t xml:space="preserve"> and</w:t>
      </w:r>
      <w:r w:rsidR="008B1F47">
        <w:rPr>
          <w:rFonts w:ascii="Times New Roman" w:hAnsi="Times New Roman" w:cs="Times New Roman"/>
          <w:sz w:val="24"/>
          <w:szCs w:val="24"/>
        </w:rPr>
        <w:t xml:space="preserve"> the country’s</w:t>
      </w:r>
      <w:r w:rsidR="00DE7930" w:rsidRPr="00B67571">
        <w:rPr>
          <w:rFonts w:ascii="Times New Roman" w:hAnsi="Times New Roman" w:cs="Times New Roman"/>
          <w:sz w:val="24"/>
          <w:szCs w:val="24"/>
        </w:rPr>
        <w:t xml:space="preserve"> dependence on natural resources</w:t>
      </w:r>
      <w:r w:rsidR="008B1F47">
        <w:rPr>
          <w:rFonts w:ascii="Times New Roman" w:hAnsi="Times New Roman" w:cs="Times New Roman"/>
          <w:sz w:val="24"/>
          <w:szCs w:val="24"/>
        </w:rPr>
        <w:t xml:space="preserve"> or foreign aid</w:t>
      </w:r>
      <w:r w:rsidR="00DE7930" w:rsidRPr="00B67571">
        <w:rPr>
          <w:rFonts w:ascii="Times New Roman" w:hAnsi="Times New Roman" w:cs="Times New Roman"/>
          <w:sz w:val="24"/>
          <w:szCs w:val="24"/>
        </w:rPr>
        <w:t>.</w:t>
      </w:r>
    </w:p>
    <w:p w:rsidR="00DE7930" w:rsidRPr="00DE7930" w:rsidRDefault="00DE7930" w:rsidP="00DE7930">
      <w:pPr>
        <w:spacing w:after="0" w:line="480" w:lineRule="auto"/>
        <w:ind w:firstLine="540"/>
        <w:jc w:val="both"/>
        <w:rPr>
          <w:rFonts w:ascii="Times New Roman" w:hAnsi="Times New Roman" w:cs="Times New Roman"/>
          <w:color w:val="000000"/>
          <w:sz w:val="24"/>
          <w:szCs w:val="24"/>
          <w:u w:val="single"/>
        </w:rPr>
      </w:pPr>
    </w:p>
    <w:p w:rsidR="00C74556" w:rsidRPr="00DE7930" w:rsidRDefault="00DF2A2B" w:rsidP="00DE7930">
      <w:pPr>
        <w:spacing w:after="0" w:line="480" w:lineRule="auto"/>
        <w:ind w:firstLine="54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 xml:space="preserve">Step </w:t>
      </w:r>
      <w:r w:rsidR="00C74556" w:rsidRPr="00DE7930">
        <w:rPr>
          <w:rFonts w:ascii="Times New Roman" w:hAnsi="Times New Roman" w:cs="Times New Roman"/>
          <w:color w:val="000000"/>
          <w:sz w:val="28"/>
          <w:szCs w:val="28"/>
          <w:u w:val="single"/>
        </w:rPr>
        <w:t>1</w:t>
      </w:r>
      <w:r>
        <w:rPr>
          <w:rFonts w:ascii="Times New Roman" w:hAnsi="Times New Roman" w:cs="Times New Roman"/>
          <w:color w:val="000000"/>
          <w:sz w:val="28"/>
          <w:szCs w:val="28"/>
          <w:u w:val="single"/>
        </w:rPr>
        <w:t>.</w:t>
      </w:r>
      <w:r w:rsidR="00C74556" w:rsidRPr="00DE7930">
        <w:rPr>
          <w:rFonts w:ascii="Times New Roman" w:hAnsi="Times New Roman" w:cs="Times New Roman"/>
          <w:color w:val="000000"/>
          <w:sz w:val="28"/>
          <w:szCs w:val="28"/>
          <w:u w:val="single"/>
        </w:rPr>
        <w:t xml:space="preserve"> Real Exchange Rate </w:t>
      </w:r>
      <w:r w:rsidR="00D5297A">
        <w:rPr>
          <w:rFonts w:ascii="Times New Roman" w:hAnsi="Times New Roman" w:cs="Times New Roman"/>
          <w:color w:val="000000"/>
          <w:sz w:val="28"/>
          <w:szCs w:val="28"/>
          <w:u w:val="single"/>
        </w:rPr>
        <w:t>Trends</w:t>
      </w:r>
    </w:p>
    <w:p w:rsidR="00E86617" w:rsidRPr="00DE7930" w:rsidRDefault="00C74556" w:rsidP="00E86617">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Real exchange rate is the ratio of prices for tradable and non-tradable goods, where tradable goods are those that can be sold at another location other than the domestic country and non-tradable good is sold in the domestic country only either due to high transportation costs or psychical inability to move a product. Examples of non-tradable goods are construc</w:t>
      </w:r>
      <w:r w:rsidR="00AA6AB7">
        <w:rPr>
          <w:rFonts w:ascii="Times New Roman" w:hAnsi="Times New Roman" w:cs="Times New Roman"/>
          <w:color w:val="000000"/>
          <w:sz w:val="24"/>
          <w:szCs w:val="24"/>
        </w:rPr>
        <w:t xml:space="preserve">tion and public transportation. </w:t>
      </w:r>
      <w:r w:rsidR="00607240" w:rsidRPr="00DE7930">
        <w:rPr>
          <w:rFonts w:ascii="Times New Roman" w:hAnsi="Times New Roman" w:cs="Times New Roman"/>
          <w:color w:val="000000"/>
          <w:sz w:val="24"/>
          <w:szCs w:val="24"/>
        </w:rPr>
        <w:t>If unavailable</w:t>
      </w:r>
      <w:r w:rsidR="00AA6AB7">
        <w:rPr>
          <w:rFonts w:ascii="Times New Roman" w:hAnsi="Times New Roman" w:cs="Times New Roman"/>
          <w:color w:val="000000"/>
          <w:sz w:val="24"/>
          <w:szCs w:val="24"/>
        </w:rPr>
        <w:t>,</w:t>
      </w:r>
      <w:r w:rsidR="00607240" w:rsidRPr="00DE7930">
        <w:rPr>
          <w:rFonts w:ascii="Times New Roman" w:hAnsi="Times New Roman" w:cs="Times New Roman"/>
          <w:color w:val="000000"/>
          <w:sz w:val="24"/>
          <w:szCs w:val="24"/>
        </w:rPr>
        <w:t xml:space="preserve"> real exchange rate can be substituted by th</w:t>
      </w:r>
      <w:r w:rsidR="00AA6AB7">
        <w:rPr>
          <w:rFonts w:ascii="Times New Roman" w:hAnsi="Times New Roman" w:cs="Times New Roman"/>
          <w:color w:val="000000"/>
          <w:sz w:val="24"/>
          <w:szCs w:val="24"/>
        </w:rPr>
        <w:t>e real effective exchange rate.</w:t>
      </w:r>
      <w:r w:rsidR="00501C33">
        <w:rPr>
          <w:rFonts w:ascii="Times New Roman" w:hAnsi="Times New Roman" w:cs="Times New Roman"/>
          <w:color w:val="000000"/>
          <w:sz w:val="24"/>
          <w:szCs w:val="24"/>
        </w:rPr>
        <w:t xml:space="preserve"> </w:t>
      </w:r>
      <w:r w:rsidR="00E86617">
        <w:rPr>
          <w:rFonts w:ascii="Times New Roman" w:hAnsi="Times New Roman" w:cs="Times New Roman"/>
          <w:color w:val="000000"/>
          <w:sz w:val="24"/>
          <w:szCs w:val="24"/>
        </w:rPr>
        <w:t xml:space="preserve">The rates are calculated using the following equations: </w:t>
      </w:r>
    </w:p>
    <w:p w:rsidR="00AA6AB7" w:rsidRPr="00E86617" w:rsidRDefault="00AA6AB7" w:rsidP="00AA6AB7">
      <w:pPr>
        <w:spacing w:after="0" w:line="240" w:lineRule="auto"/>
        <w:ind w:firstLine="547"/>
        <w:jc w:val="center"/>
        <w:rPr>
          <w:rFonts w:ascii="Times New Roman" w:eastAsiaTheme="minorEastAsia" w:hAnsi="Times New Roman" w:cs="Times New Roman"/>
          <w:color w:val="000000"/>
          <w:sz w:val="26"/>
          <w:szCs w:val="26"/>
        </w:rPr>
      </w:pPr>
      <w:r w:rsidRPr="00E86617">
        <w:rPr>
          <w:rFonts w:ascii="Times New Roman" w:eastAsiaTheme="minorEastAsia" w:hAnsi="Times New Roman" w:cs="Times New Roman"/>
          <w:color w:val="000000"/>
          <w:sz w:val="26"/>
          <w:szCs w:val="26"/>
        </w:rPr>
        <w:t xml:space="preserve">RER = NER* </w:t>
      </w:r>
      <w:r w:rsidRPr="00E86617">
        <w:rPr>
          <w:rFonts w:ascii="Times New Roman" w:eastAsiaTheme="minorEastAsia" w:hAnsi="Times New Roman" w:cs="Times New Roman"/>
          <w:color w:val="000000"/>
          <w:sz w:val="26"/>
          <w:szCs w:val="26"/>
          <w:u w:val="single"/>
        </w:rPr>
        <w:t>Domestic Prices</w:t>
      </w:r>
    </w:p>
    <w:p w:rsidR="00607240" w:rsidRPr="00E86617" w:rsidRDefault="00AA6AB7" w:rsidP="00AA6AB7">
      <w:pPr>
        <w:spacing w:after="0" w:line="240" w:lineRule="auto"/>
        <w:ind w:firstLine="547"/>
        <w:jc w:val="center"/>
        <w:rPr>
          <w:rFonts w:ascii="Times New Roman" w:hAnsi="Times New Roman" w:cs="Times New Roman"/>
          <w:color w:val="000000"/>
          <w:sz w:val="26"/>
          <w:szCs w:val="26"/>
        </w:rPr>
      </w:pPr>
      <w:r w:rsidRPr="00E86617">
        <w:rPr>
          <w:rFonts w:ascii="Times New Roman" w:eastAsiaTheme="minorEastAsia" w:hAnsi="Times New Roman" w:cs="Times New Roman"/>
          <w:color w:val="000000"/>
          <w:sz w:val="26"/>
          <w:szCs w:val="26"/>
        </w:rPr>
        <w:t xml:space="preserve">                      Foreign Prices</w:t>
      </w:r>
    </w:p>
    <w:p w:rsidR="00AA6AB7" w:rsidRPr="00E86617" w:rsidRDefault="00AA6AB7" w:rsidP="00AA6AB7">
      <w:pPr>
        <w:spacing w:after="0" w:line="480" w:lineRule="auto"/>
        <w:ind w:firstLine="540"/>
        <w:jc w:val="right"/>
        <w:rPr>
          <w:rFonts w:ascii="Times New Roman" w:hAnsi="Times New Roman" w:cs="Times New Roman"/>
          <w:i/>
          <w:color w:val="000000"/>
          <w:sz w:val="24"/>
          <w:szCs w:val="24"/>
        </w:rPr>
      </w:pPr>
      <w:r w:rsidRPr="00E86617">
        <w:rPr>
          <w:rFonts w:ascii="Times New Roman" w:hAnsi="Times New Roman" w:cs="Times New Roman"/>
          <w:i/>
          <w:color w:val="000000"/>
          <w:sz w:val="24"/>
          <w:szCs w:val="24"/>
        </w:rPr>
        <w:t>Equation 1</w:t>
      </w:r>
    </w:p>
    <w:p w:rsidR="00AA6AB7" w:rsidRPr="00E86617" w:rsidRDefault="00AA6AB7" w:rsidP="00AA6AB7">
      <w:pPr>
        <w:spacing w:after="0" w:line="240" w:lineRule="auto"/>
        <w:ind w:firstLine="547"/>
        <w:jc w:val="center"/>
        <w:rPr>
          <w:rFonts w:ascii="Times New Roman" w:eastAsiaTheme="minorEastAsia" w:hAnsi="Times New Roman" w:cs="Times New Roman"/>
          <w:color w:val="000000"/>
          <w:sz w:val="26"/>
          <w:szCs w:val="26"/>
        </w:rPr>
      </w:pPr>
      <w:r w:rsidRPr="00E86617">
        <w:rPr>
          <w:rFonts w:ascii="Times New Roman" w:eastAsiaTheme="minorEastAsia" w:hAnsi="Times New Roman" w:cs="Times New Roman"/>
          <w:color w:val="000000"/>
          <w:sz w:val="26"/>
          <w:szCs w:val="26"/>
        </w:rPr>
        <w:t xml:space="preserve">REER = NEER* </w:t>
      </w:r>
      <w:r w:rsidRPr="00E86617">
        <w:rPr>
          <w:rFonts w:ascii="Times New Roman" w:eastAsiaTheme="minorEastAsia" w:hAnsi="Times New Roman" w:cs="Times New Roman"/>
          <w:color w:val="000000"/>
          <w:sz w:val="26"/>
          <w:szCs w:val="26"/>
          <w:u w:val="single"/>
        </w:rPr>
        <w:t>CPI</w:t>
      </w:r>
      <w:r w:rsidRPr="00E86617">
        <w:rPr>
          <w:rFonts w:ascii="Times New Roman" w:eastAsiaTheme="minorEastAsia" w:hAnsi="Times New Roman" w:cs="Times New Roman"/>
          <w:color w:val="000000"/>
          <w:sz w:val="26"/>
          <w:szCs w:val="26"/>
          <w:u w:val="single"/>
          <w:vertAlign w:val="subscript"/>
        </w:rPr>
        <w:t>d</w:t>
      </w:r>
    </w:p>
    <w:p w:rsidR="00AA6AB7" w:rsidRPr="00E86617" w:rsidRDefault="00AA6AB7" w:rsidP="00AA6AB7">
      <w:pPr>
        <w:spacing w:after="0" w:line="240" w:lineRule="auto"/>
        <w:ind w:firstLine="547"/>
        <w:jc w:val="center"/>
        <w:rPr>
          <w:rFonts w:ascii="Times New Roman" w:hAnsi="Times New Roman" w:cs="Times New Roman"/>
          <w:color w:val="000000"/>
          <w:sz w:val="26"/>
          <w:szCs w:val="26"/>
        </w:rPr>
      </w:pPr>
      <w:r w:rsidRPr="00E86617">
        <w:rPr>
          <w:rFonts w:ascii="Times New Roman" w:eastAsiaTheme="minorEastAsia" w:hAnsi="Times New Roman" w:cs="Times New Roman"/>
          <w:color w:val="000000"/>
          <w:sz w:val="26"/>
          <w:szCs w:val="26"/>
        </w:rPr>
        <w:t xml:space="preserve">                            </w:t>
      </w:r>
      <w:r w:rsidR="00E86617">
        <w:rPr>
          <w:rFonts w:ascii="Times New Roman" w:eastAsiaTheme="minorEastAsia" w:hAnsi="Times New Roman" w:cs="Times New Roman"/>
          <w:color w:val="000000"/>
          <w:sz w:val="26"/>
          <w:szCs w:val="26"/>
        </w:rPr>
        <w:t xml:space="preserve"> </w:t>
      </w:r>
      <w:r w:rsidRPr="00E86617">
        <w:rPr>
          <w:rFonts w:ascii="Times New Roman" w:eastAsiaTheme="minorEastAsia" w:hAnsi="Times New Roman" w:cs="Times New Roman"/>
          <w:color w:val="000000"/>
          <w:sz w:val="26"/>
          <w:szCs w:val="26"/>
        </w:rPr>
        <w:t>CPI</w:t>
      </w:r>
      <w:r w:rsidRPr="00E86617">
        <w:rPr>
          <w:rFonts w:ascii="Times New Roman" w:eastAsiaTheme="minorEastAsia" w:hAnsi="Times New Roman" w:cs="Times New Roman"/>
          <w:color w:val="000000"/>
          <w:sz w:val="26"/>
          <w:szCs w:val="26"/>
          <w:vertAlign w:val="subscript"/>
        </w:rPr>
        <w:t>f</w:t>
      </w:r>
    </w:p>
    <w:p w:rsidR="00501C33" w:rsidRPr="00E86617" w:rsidRDefault="00501C33" w:rsidP="00E86617">
      <w:pPr>
        <w:spacing w:after="0" w:line="480" w:lineRule="auto"/>
        <w:ind w:firstLine="540"/>
        <w:jc w:val="right"/>
        <w:rPr>
          <w:rFonts w:ascii="Times New Roman" w:hAnsi="Times New Roman" w:cs="Times New Roman"/>
          <w:i/>
          <w:color w:val="000000"/>
          <w:sz w:val="24"/>
          <w:szCs w:val="24"/>
        </w:rPr>
      </w:pPr>
      <w:r w:rsidRPr="00501C33">
        <w:rPr>
          <w:rFonts w:ascii="Times New Roman" w:hAnsi="Times New Roman" w:cs="Times New Roman"/>
          <w:i/>
          <w:color w:val="000000"/>
          <w:sz w:val="24"/>
          <w:szCs w:val="24"/>
        </w:rPr>
        <w:t>Equation 2</w:t>
      </w:r>
    </w:p>
    <w:p w:rsidR="00C74556" w:rsidRPr="00DE7930" w:rsidRDefault="00607240" w:rsidP="00DE7930">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,w</w:t>
      </w:r>
      <w:r w:rsidR="00C74556" w:rsidRPr="00DE7930">
        <w:rPr>
          <w:rFonts w:ascii="Times New Roman" w:hAnsi="Times New Roman" w:cs="Times New Roman"/>
          <w:color w:val="000000"/>
          <w:sz w:val="24"/>
          <w:szCs w:val="24"/>
        </w:rPr>
        <w:t xml:space="preserve">here </w:t>
      </w:r>
      <w:r w:rsidR="008A2E27" w:rsidRPr="00DE7930">
        <w:rPr>
          <w:rFonts w:ascii="Times New Roman" w:hAnsi="Times New Roman" w:cs="Times New Roman"/>
          <w:color w:val="000000"/>
          <w:sz w:val="24"/>
          <w:szCs w:val="24"/>
        </w:rPr>
        <w:t>CPI</w:t>
      </w:r>
      <w:r w:rsidR="00AA6AB7">
        <w:rPr>
          <w:rFonts w:ascii="Times New Roman" w:hAnsi="Times New Roman" w:cs="Times New Roman"/>
          <w:color w:val="000000"/>
          <w:sz w:val="24"/>
          <w:szCs w:val="24"/>
          <w:vertAlign w:val="subscript"/>
        </w:rPr>
        <w:t>f</w:t>
      </w:r>
      <w:r w:rsidR="008A2E27" w:rsidRPr="00DE7930">
        <w:rPr>
          <w:rFonts w:ascii="Times New Roman" w:hAnsi="Times New Roman" w:cs="Times New Roman"/>
          <w:color w:val="000000"/>
          <w:sz w:val="24"/>
          <w:szCs w:val="24"/>
        </w:rPr>
        <w:t xml:space="preserve"> is the consumer price index</w:t>
      </w:r>
      <w:r w:rsidR="00AA6AB7">
        <w:rPr>
          <w:rFonts w:ascii="Times New Roman" w:hAnsi="Times New Roman" w:cs="Times New Roman"/>
          <w:color w:val="000000"/>
          <w:sz w:val="24"/>
          <w:szCs w:val="24"/>
        </w:rPr>
        <w:t xml:space="preserve"> for the foreign country</w:t>
      </w:r>
      <w:r w:rsidR="008A2E27" w:rsidRPr="00DE7930">
        <w:rPr>
          <w:rFonts w:ascii="Times New Roman" w:hAnsi="Times New Roman" w:cs="Times New Roman"/>
          <w:color w:val="000000"/>
          <w:sz w:val="24"/>
          <w:szCs w:val="24"/>
        </w:rPr>
        <w:t>,</w:t>
      </w:r>
      <w:r w:rsidR="00C74556" w:rsidRPr="00DE7930">
        <w:rPr>
          <w:rFonts w:ascii="Times New Roman" w:hAnsi="Times New Roman" w:cs="Times New Roman"/>
          <w:color w:val="000000"/>
          <w:sz w:val="24"/>
          <w:szCs w:val="24"/>
        </w:rPr>
        <w:t xml:space="preserve"> </w:t>
      </w:r>
      <w:r w:rsidR="00AA6AB7" w:rsidRPr="00DE7930">
        <w:rPr>
          <w:rFonts w:ascii="Times New Roman" w:hAnsi="Times New Roman" w:cs="Times New Roman"/>
          <w:color w:val="000000"/>
          <w:sz w:val="24"/>
          <w:szCs w:val="24"/>
        </w:rPr>
        <w:t>CPI</w:t>
      </w:r>
      <w:r w:rsidR="00AA6AB7">
        <w:rPr>
          <w:rFonts w:ascii="Times New Roman" w:hAnsi="Times New Roman" w:cs="Times New Roman"/>
          <w:color w:val="000000"/>
          <w:sz w:val="24"/>
          <w:szCs w:val="24"/>
          <w:vertAlign w:val="subscript"/>
        </w:rPr>
        <w:t>d</w:t>
      </w:r>
      <w:r w:rsidR="00AA6AB7" w:rsidRPr="00DE7930">
        <w:rPr>
          <w:rFonts w:ascii="Times New Roman" w:hAnsi="Times New Roman" w:cs="Times New Roman"/>
          <w:color w:val="000000"/>
          <w:sz w:val="24"/>
          <w:szCs w:val="24"/>
        </w:rPr>
        <w:t xml:space="preserve"> is the consumer price index</w:t>
      </w:r>
      <w:r w:rsidR="00AA6AB7">
        <w:rPr>
          <w:rFonts w:ascii="Times New Roman" w:hAnsi="Times New Roman" w:cs="Times New Roman"/>
          <w:color w:val="000000"/>
          <w:sz w:val="24"/>
          <w:szCs w:val="24"/>
        </w:rPr>
        <w:t xml:space="preserve"> for the domestic country, NER is the nominal exchange rate, NEER is the </w:t>
      </w:r>
      <w:r w:rsidR="00AA6AB7">
        <w:rPr>
          <w:rFonts w:ascii="Times New Roman" w:hAnsi="Times New Roman" w:cs="Times New Roman"/>
          <w:color w:val="000000"/>
          <w:sz w:val="24"/>
          <w:szCs w:val="24"/>
        </w:rPr>
        <w:lastRenderedPageBreak/>
        <w:t>nominal effective exchange rate</w:t>
      </w:r>
      <w:r w:rsidR="00686BA0" w:rsidRPr="00DE7930">
        <w:rPr>
          <w:rFonts w:ascii="Times New Roman" w:hAnsi="Times New Roman" w:cs="Times New Roman"/>
          <w:color w:val="000000"/>
          <w:sz w:val="24"/>
          <w:szCs w:val="24"/>
        </w:rPr>
        <w:t>.</w:t>
      </w:r>
      <w:r w:rsidR="00AA6AB7">
        <w:rPr>
          <w:rFonts w:ascii="Times New Roman" w:hAnsi="Times New Roman" w:cs="Times New Roman"/>
          <w:color w:val="000000"/>
          <w:sz w:val="24"/>
          <w:szCs w:val="24"/>
        </w:rPr>
        <w:t xml:space="preserve"> NEER shows how much of foreign currency one can buy using the domestic currency. </w:t>
      </w:r>
      <w:r w:rsidR="00686BA0" w:rsidRPr="00DE7930">
        <w:rPr>
          <w:rFonts w:ascii="Times New Roman" w:hAnsi="Times New Roman" w:cs="Times New Roman"/>
          <w:color w:val="000000"/>
          <w:sz w:val="24"/>
          <w:szCs w:val="24"/>
        </w:rPr>
        <w:t xml:space="preserve"> </w:t>
      </w:r>
    </w:p>
    <w:p w:rsidR="00592545" w:rsidRPr="00DE7930" w:rsidRDefault="002C63A6" w:rsidP="00626315">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 xml:space="preserve">Figure 2 illustrates </w:t>
      </w:r>
      <w:r w:rsidR="00D12E9B" w:rsidRPr="00DE7930">
        <w:rPr>
          <w:rFonts w:ascii="Times New Roman" w:hAnsi="Times New Roman" w:cs="Times New Roman"/>
          <w:color w:val="000000"/>
          <w:sz w:val="24"/>
          <w:szCs w:val="24"/>
        </w:rPr>
        <w:t xml:space="preserve">the </w:t>
      </w:r>
      <w:r w:rsidRPr="00DE7930">
        <w:rPr>
          <w:rFonts w:ascii="Times New Roman" w:hAnsi="Times New Roman" w:cs="Times New Roman"/>
          <w:color w:val="000000"/>
          <w:sz w:val="24"/>
          <w:szCs w:val="24"/>
        </w:rPr>
        <w:t>real effective exchange rate trends in Armenia starti</w:t>
      </w:r>
      <w:r w:rsidR="00626315">
        <w:rPr>
          <w:rFonts w:ascii="Times New Roman" w:hAnsi="Times New Roman" w:cs="Times New Roman"/>
          <w:color w:val="000000"/>
          <w:sz w:val="24"/>
          <w:szCs w:val="24"/>
        </w:rPr>
        <w:t>ng 1995 to 2011.</w:t>
      </w:r>
    </w:p>
    <w:p w:rsidR="00686BA0" w:rsidRPr="00DE7930" w:rsidRDefault="00AE604F" w:rsidP="00F25613">
      <w:pPr>
        <w:spacing w:after="0" w:line="480" w:lineRule="auto"/>
        <w:jc w:val="both"/>
        <w:rPr>
          <w:rFonts w:ascii="Times New Roman" w:hAnsi="Times New Roman" w:cs="Times New Roman"/>
          <w:color w:val="000000"/>
          <w:sz w:val="24"/>
          <w:szCs w:val="24"/>
        </w:rPr>
      </w:pPr>
      <w:r w:rsidRPr="00DE7930">
        <w:rPr>
          <w:rFonts w:ascii="Times New Roman" w:hAnsi="Times New Roman" w:cs="Times New Roman"/>
          <w:noProof/>
          <w:color w:val="000000"/>
          <w:sz w:val="24"/>
          <w:szCs w:val="24"/>
        </w:rPr>
        <w:drawing>
          <wp:inline distT="0" distB="0" distL="0" distR="0" wp14:anchorId="113199CA" wp14:editId="36E59F2B">
            <wp:extent cx="5199321" cy="3519377"/>
            <wp:effectExtent l="0" t="0" r="2095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6BA0" w:rsidRPr="00DE7930" w:rsidRDefault="00686BA0" w:rsidP="008B1F47">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 2</w:t>
      </w:r>
    </w:p>
    <w:p w:rsidR="00CE2B16" w:rsidRPr="00DE7930" w:rsidRDefault="001C4E0E" w:rsidP="008B1F47">
      <w:pPr>
        <w:spacing w:after="0" w:line="240" w:lineRule="auto"/>
        <w:ind w:firstLine="547"/>
        <w:jc w:val="right"/>
        <w:rPr>
          <w:rFonts w:ascii="Times New Roman" w:hAnsi="Times New Roman" w:cs="Times New Roman"/>
          <w:i/>
          <w:color w:val="000000"/>
          <w:sz w:val="24"/>
          <w:szCs w:val="24"/>
        </w:rPr>
      </w:pPr>
      <w:r>
        <w:rPr>
          <w:rFonts w:ascii="Times New Roman" w:hAnsi="Times New Roman" w:cs="Times New Roman"/>
          <w:i/>
          <w:color w:val="000000"/>
          <w:sz w:val="24"/>
          <w:szCs w:val="24"/>
        </w:rPr>
        <w:t>Data Source CBA</w:t>
      </w:r>
      <w:r w:rsidR="00CE2B16" w:rsidRPr="00DE7930">
        <w:rPr>
          <w:rFonts w:ascii="Times New Roman" w:hAnsi="Times New Roman" w:cs="Times New Roman"/>
          <w:i/>
          <w:color w:val="000000"/>
          <w:sz w:val="24"/>
          <w:szCs w:val="24"/>
        </w:rPr>
        <w:t xml:space="preserve"> Statistics</w:t>
      </w:r>
      <w:r>
        <w:rPr>
          <w:rFonts w:ascii="Times New Roman" w:hAnsi="Times New Roman" w:cs="Times New Roman"/>
          <w:i/>
          <w:color w:val="000000"/>
          <w:sz w:val="24"/>
          <w:szCs w:val="24"/>
        </w:rPr>
        <w:t>, Authors calculations</w:t>
      </w:r>
    </w:p>
    <w:p w:rsidR="00633A45" w:rsidRPr="00DE7930" w:rsidRDefault="00633A45" w:rsidP="001C4E0E">
      <w:pPr>
        <w:spacing w:after="0" w:line="480" w:lineRule="auto"/>
        <w:jc w:val="both"/>
        <w:rPr>
          <w:rFonts w:ascii="Times New Roman" w:hAnsi="Times New Roman" w:cs="Times New Roman"/>
          <w:color w:val="000000"/>
          <w:sz w:val="24"/>
          <w:szCs w:val="24"/>
        </w:rPr>
      </w:pPr>
    </w:p>
    <w:p w:rsidR="00592545" w:rsidRDefault="00592545" w:rsidP="00DE7930">
      <w:pPr>
        <w:spacing w:after="0" w:line="480" w:lineRule="auto"/>
        <w:ind w:firstLine="540"/>
        <w:jc w:val="both"/>
        <w:rPr>
          <w:rFonts w:ascii="Times New Roman" w:hAnsi="Times New Roman" w:cs="Times New Roman"/>
          <w:color w:val="000000"/>
          <w:sz w:val="24"/>
          <w:szCs w:val="24"/>
        </w:rPr>
      </w:pPr>
    </w:p>
    <w:p w:rsidR="008B1F47" w:rsidRPr="00DE7930" w:rsidRDefault="00686BA0" w:rsidP="00DE7930">
      <w:pPr>
        <w:spacing w:after="0" w:line="480" w:lineRule="auto"/>
        <w:ind w:firstLine="540"/>
        <w:jc w:val="both"/>
        <w:rPr>
          <w:rFonts w:ascii="Times New Roman" w:hAnsi="Times New Roman" w:cs="Times New Roman"/>
          <w:color w:val="FF0000"/>
          <w:sz w:val="24"/>
          <w:szCs w:val="24"/>
        </w:rPr>
      </w:pPr>
      <w:r w:rsidRPr="00DE7930">
        <w:rPr>
          <w:rFonts w:ascii="Times New Roman" w:hAnsi="Times New Roman" w:cs="Times New Roman"/>
          <w:color w:val="000000"/>
          <w:sz w:val="24"/>
          <w:szCs w:val="24"/>
        </w:rPr>
        <w:t xml:space="preserve">Starting from the </w:t>
      </w:r>
      <w:r w:rsidR="00AE604F" w:rsidRPr="00DE7930">
        <w:rPr>
          <w:rFonts w:ascii="Times New Roman" w:hAnsi="Times New Roman" w:cs="Times New Roman"/>
          <w:color w:val="000000"/>
          <w:sz w:val="24"/>
          <w:szCs w:val="24"/>
        </w:rPr>
        <w:t>year 1995</w:t>
      </w:r>
      <w:r w:rsidRPr="00DE7930">
        <w:rPr>
          <w:rFonts w:ascii="Times New Roman" w:hAnsi="Times New Roman" w:cs="Times New Roman"/>
          <w:color w:val="000000"/>
          <w:sz w:val="24"/>
          <w:szCs w:val="24"/>
        </w:rPr>
        <w:t xml:space="preserve"> t</w:t>
      </w:r>
      <w:r w:rsidR="004064F9">
        <w:rPr>
          <w:rFonts w:ascii="Times New Roman" w:hAnsi="Times New Roman" w:cs="Times New Roman"/>
          <w:color w:val="000000"/>
          <w:sz w:val="24"/>
          <w:szCs w:val="24"/>
        </w:rPr>
        <w:t>he real effective exchange rate in Armenia has had</w:t>
      </w:r>
      <w:r w:rsidRPr="00DE7930">
        <w:rPr>
          <w:rFonts w:ascii="Times New Roman" w:hAnsi="Times New Roman" w:cs="Times New Roman"/>
          <w:color w:val="000000"/>
          <w:sz w:val="24"/>
          <w:szCs w:val="24"/>
        </w:rPr>
        <w:t xml:space="preserve"> a</w:t>
      </w:r>
      <w:r w:rsidR="00DB63CA" w:rsidRPr="00DE7930">
        <w:rPr>
          <w:rFonts w:ascii="Times New Roman" w:hAnsi="Times New Roman" w:cs="Times New Roman"/>
          <w:color w:val="000000"/>
          <w:sz w:val="24"/>
          <w:szCs w:val="24"/>
        </w:rPr>
        <w:t>n</w:t>
      </w:r>
      <w:r w:rsidRPr="00DE7930">
        <w:rPr>
          <w:rFonts w:ascii="Times New Roman" w:hAnsi="Times New Roman" w:cs="Times New Roman"/>
          <w:color w:val="000000"/>
          <w:sz w:val="24"/>
          <w:szCs w:val="24"/>
        </w:rPr>
        <w:t xml:space="preserve"> upwards trend. Fluctuations can be seen depending on the economic activity of the country. </w:t>
      </w:r>
      <w:r w:rsidR="00EB45D9" w:rsidRPr="00DE7930">
        <w:rPr>
          <w:rFonts w:ascii="Times New Roman" w:hAnsi="Times New Roman" w:cs="Times New Roman"/>
          <w:color w:val="000000"/>
          <w:sz w:val="24"/>
          <w:szCs w:val="24"/>
        </w:rPr>
        <w:t xml:space="preserve">The </w:t>
      </w:r>
      <w:r w:rsidR="004064F9">
        <w:rPr>
          <w:rFonts w:ascii="Times New Roman" w:hAnsi="Times New Roman" w:cs="Times New Roman"/>
          <w:color w:val="000000"/>
          <w:sz w:val="24"/>
          <w:szCs w:val="24"/>
        </w:rPr>
        <w:t>r</w:t>
      </w:r>
      <w:r w:rsidR="00983855" w:rsidRPr="00DE7930">
        <w:rPr>
          <w:rFonts w:ascii="Times New Roman" w:hAnsi="Times New Roman" w:cs="Times New Roman"/>
          <w:color w:val="000000"/>
          <w:sz w:val="24"/>
          <w:szCs w:val="24"/>
        </w:rPr>
        <w:t>apid</w:t>
      </w:r>
      <w:r w:rsidR="00EB45D9" w:rsidRPr="00DE7930">
        <w:rPr>
          <w:rFonts w:ascii="Times New Roman" w:hAnsi="Times New Roman" w:cs="Times New Roman"/>
          <w:color w:val="000000"/>
          <w:sz w:val="24"/>
          <w:szCs w:val="24"/>
        </w:rPr>
        <w:t xml:space="preserve"> escalation of REER from 2</w:t>
      </w:r>
      <w:r w:rsidR="00624A48">
        <w:rPr>
          <w:rFonts w:ascii="Times New Roman" w:hAnsi="Times New Roman" w:cs="Times New Roman"/>
          <w:color w:val="000000"/>
          <w:sz w:val="24"/>
          <w:szCs w:val="24"/>
        </w:rPr>
        <w:t>003 to 2007 was accompanied by</w:t>
      </w:r>
      <w:r w:rsidR="00EB45D9" w:rsidRPr="00DE7930">
        <w:rPr>
          <w:rFonts w:ascii="Times New Roman" w:hAnsi="Times New Roman" w:cs="Times New Roman"/>
          <w:color w:val="000000"/>
          <w:sz w:val="24"/>
          <w:szCs w:val="24"/>
        </w:rPr>
        <w:t xml:space="preserve"> increase in dollar supply in the country, growth in remittances, increase in FDI </w:t>
      </w:r>
      <w:r w:rsidR="00675593" w:rsidRPr="00DE7930">
        <w:rPr>
          <w:rFonts w:ascii="Times New Roman" w:hAnsi="Times New Roman" w:cs="Times New Roman"/>
          <w:color w:val="000000"/>
          <w:sz w:val="24"/>
          <w:szCs w:val="24"/>
        </w:rPr>
        <w:t xml:space="preserve">(mostly </w:t>
      </w:r>
      <w:r w:rsidR="00EB45D9" w:rsidRPr="00DE7930">
        <w:rPr>
          <w:rFonts w:ascii="Times New Roman" w:hAnsi="Times New Roman" w:cs="Times New Roman"/>
          <w:color w:val="000000"/>
          <w:sz w:val="24"/>
          <w:szCs w:val="24"/>
        </w:rPr>
        <w:t>into real estate</w:t>
      </w:r>
      <w:r w:rsidR="00675593" w:rsidRPr="00DE7930">
        <w:rPr>
          <w:rFonts w:ascii="Times New Roman" w:hAnsi="Times New Roman" w:cs="Times New Roman"/>
          <w:color w:val="000000"/>
          <w:sz w:val="24"/>
          <w:szCs w:val="24"/>
        </w:rPr>
        <w:t>)</w:t>
      </w:r>
      <w:r w:rsidR="00EB45D9" w:rsidRPr="00DE7930">
        <w:rPr>
          <w:rFonts w:ascii="Times New Roman" w:hAnsi="Times New Roman" w:cs="Times New Roman"/>
          <w:color w:val="000000"/>
          <w:sz w:val="24"/>
          <w:szCs w:val="24"/>
        </w:rPr>
        <w:t>, and hi</w:t>
      </w:r>
      <w:r w:rsidR="004064F9">
        <w:rPr>
          <w:rFonts w:ascii="Times New Roman" w:hAnsi="Times New Roman" w:cs="Times New Roman"/>
          <w:color w:val="000000"/>
          <w:sz w:val="24"/>
          <w:szCs w:val="24"/>
        </w:rPr>
        <w:t>gh export prices in copper and m</w:t>
      </w:r>
      <w:r w:rsidR="00EB45D9" w:rsidRPr="00DE7930">
        <w:rPr>
          <w:rFonts w:ascii="Times New Roman" w:hAnsi="Times New Roman" w:cs="Times New Roman"/>
          <w:color w:val="000000"/>
          <w:sz w:val="24"/>
          <w:szCs w:val="24"/>
        </w:rPr>
        <w:t xml:space="preserve">olybdenum. </w:t>
      </w:r>
    </w:p>
    <w:p w:rsidR="00686BA0" w:rsidRPr="00DE7930" w:rsidRDefault="00AE604F" w:rsidP="00F25613">
      <w:pPr>
        <w:spacing w:after="0" w:line="480" w:lineRule="auto"/>
        <w:jc w:val="both"/>
        <w:rPr>
          <w:rFonts w:ascii="Times New Roman" w:hAnsi="Times New Roman" w:cs="Times New Roman"/>
          <w:color w:val="000000"/>
          <w:sz w:val="24"/>
          <w:szCs w:val="24"/>
        </w:rPr>
      </w:pPr>
      <w:r w:rsidRPr="00DE7930">
        <w:rPr>
          <w:rFonts w:ascii="Times New Roman" w:hAnsi="Times New Roman" w:cs="Times New Roman"/>
          <w:color w:val="FF0000"/>
          <w:sz w:val="24"/>
          <w:szCs w:val="24"/>
        </w:rPr>
        <w:lastRenderedPageBreak/>
        <w:t xml:space="preserve"> </w:t>
      </w:r>
      <w:r w:rsidRPr="00DE7930">
        <w:rPr>
          <w:rFonts w:ascii="Times New Roman" w:hAnsi="Times New Roman" w:cs="Times New Roman"/>
          <w:noProof/>
          <w:sz w:val="24"/>
          <w:szCs w:val="24"/>
        </w:rPr>
        <w:drawing>
          <wp:inline distT="0" distB="0" distL="0" distR="0" wp14:anchorId="221804B9" wp14:editId="0E79E75B">
            <wp:extent cx="5018568" cy="2955851"/>
            <wp:effectExtent l="0" t="0" r="10795"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604F" w:rsidRPr="00DE7930" w:rsidRDefault="00AE604F" w:rsidP="008B1F47">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 3</w:t>
      </w:r>
    </w:p>
    <w:p w:rsidR="00DE7930" w:rsidRPr="00DE7930" w:rsidRDefault="00DE7930" w:rsidP="008B1F47">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 RA National Statistics Service</w:t>
      </w:r>
      <w:r w:rsidR="001C4E0E">
        <w:rPr>
          <w:rFonts w:ascii="Times New Roman" w:hAnsi="Times New Roman" w:cs="Times New Roman"/>
          <w:i/>
          <w:color w:val="000000"/>
          <w:sz w:val="24"/>
          <w:szCs w:val="24"/>
        </w:rPr>
        <w:t>, Authors calculations</w:t>
      </w:r>
    </w:p>
    <w:p w:rsidR="00DE7930" w:rsidRPr="00DE7930" w:rsidRDefault="00DE7930" w:rsidP="00DE7930">
      <w:pPr>
        <w:spacing w:after="0" w:line="480" w:lineRule="auto"/>
        <w:ind w:firstLine="540"/>
        <w:jc w:val="both"/>
        <w:rPr>
          <w:rFonts w:ascii="Times New Roman" w:hAnsi="Times New Roman" w:cs="Times New Roman"/>
          <w:i/>
          <w:color w:val="000000"/>
          <w:sz w:val="24"/>
          <w:szCs w:val="24"/>
        </w:rPr>
      </w:pPr>
    </w:p>
    <w:p w:rsidR="0051298B" w:rsidRDefault="00675593" w:rsidP="00B02BB1">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Figure 3 illustrate net inflow of FDI in US currency. The graph shows that FDI increases continuously until 2008 and rather rapidly between 2003 and 2007.</w:t>
      </w:r>
      <w:r w:rsidR="00B02BB1">
        <w:rPr>
          <w:rFonts w:ascii="Times New Roman" w:hAnsi="Times New Roman" w:cs="Times New Roman"/>
          <w:color w:val="000000"/>
          <w:sz w:val="24"/>
          <w:szCs w:val="24"/>
        </w:rPr>
        <w:t xml:space="preserve"> </w:t>
      </w:r>
      <w:r w:rsidR="00B02BB1" w:rsidRPr="00DE7930">
        <w:rPr>
          <w:rFonts w:ascii="Times New Roman" w:hAnsi="Times New Roman" w:cs="Times New Roman"/>
          <w:color w:val="000000"/>
          <w:sz w:val="24"/>
          <w:szCs w:val="24"/>
        </w:rPr>
        <w:t>During the crisis a sharp drop follows for two years.</w:t>
      </w:r>
      <w:r w:rsidR="00B02BB1">
        <w:rPr>
          <w:rFonts w:ascii="Times New Roman" w:hAnsi="Times New Roman" w:cs="Times New Roman"/>
          <w:color w:val="000000"/>
          <w:sz w:val="24"/>
          <w:szCs w:val="24"/>
        </w:rPr>
        <w:t xml:space="preserve">  </w:t>
      </w:r>
      <w:r w:rsidR="00B02BB1" w:rsidRPr="00DE7930">
        <w:rPr>
          <w:rFonts w:ascii="Times New Roman" w:hAnsi="Times New Roman" w:cs="Times New Roman"/>
          <w:color w:val="000000"/>
          <w:sz w:val="24"/>
          <w:szCs w:val="24"/>
        </w:rPr>
        <w:t xml:space="preserve">The economic crisis of 2007-2008 had brought a 28% drop in the rate of remittances which caught up with the GDP of Armenia in 2009. </w:t>
      </w:r>
      <w:r w:rsidR="00B02BB1">
        <w:rPr>
          <w:rFonts w:ascii="Times New Roman" w:hAnsi="Times New Roman" w:cs="Times New Roman"/>
          <w:color w:val="000000"/>
          <w:sz w:val="24"/>
          <w:szCs w:val="24"/>
        </w:rPr>
        <w:t>During the crisis t</w:t>
      </w:r>
      <w:r w:rsidR="00B02BB1" w:rsidRPr="00DE7930">
        <w:rPr>
          <w:rFonts w:ascii="Times New Roman" w:hAnsi="Times New Roman" w:cs="Times New Roman"/>
          <w:color w:val="000000"/>
          <w:sz w:val="24"/>
          <w:szCs w:val="24"/>
        </w:rPr>
        <w:t>he fall</w:t>
      </w:r>
      <w:r w:rsidR="00B02BB1">
        <w:rPr>
          <w:rFonts w:ascii="Times New Roman" w:hAnsi="Times New Roman" w:cs="Times New Roman"/>
          <w:color w:val="000000"/>
          <w:sz w:val="24"/>
          <w:szCs w:val="24"/>
        </w:rPr>
        <w:t xml:space="preserve"> of REER</w:t>
      </w:r>
      <w:r w:rsidR="00B02BB1" w:rsidRPr="00DE7930">
        <w:rPr>
          <w:rFonts w:ascii="Times New Roman" w:hAnsi="Times New Roman" w:cs="Times New Roman"/>
          <w:color w:val="000000"/>
          <w:sz w:val="24"/>
          <w:szCs w:val="24"/>
        </w:rPr>
        <w:t xml:space="preserve"> is most likely due to decrease in FDI, drop in export prices in copper and molybdenum</w:t>
      </w:r>
      <w:r w:rsidR="00B02BB1">
        <w:rPr>
          <w:rFonts w:ascii="Times New Roman" w:hAnsi="Times New Roman" w:cs="Times New Roman"/>
          <w:color w:val="000000"/>
          <w:sz w:val="24"/>
          <w:szCs w:val="24"/>
        </w:rPr>
        <w:t xml:space="preserve">, thus </w:t>
      </w:r>
      <w:r w:rsidR="00B02BB1" w:rsidRPr="00DE7930">
        <w:rPr>
          <w:rFonts w:ascii="Times New Roman" w:hAnsi="Times New Roman" w:cs="Times New Roman"/>
          <w:color w:val="000000"/>
          <w:sz w:val="24"/>
          <w:szCs w:val="24"/>
        </w:rPr>
        <w:t>depreciation in dram demand</w:t>
      </w:r>
      <w:r w:rsidR="00B02BB1">
        <w:rPr>
          <w:rFonts w:ascii="Times New Roman" w:hAnsi="Times New Roman" w:cs="Times New Roman"/>
          <w:color w:val="000000"/>
          <w:sz w:val="24"/>
          <w:szCs w:val="24"/>
        </w:rPr>
        <w:t xml:space="preserve"> and a halt in</w:t>
      </w:r>
      <w:r w:rsidR="00B02BB1" w:rsidRPr="00DE7930">
        <w:rPr>
          <w:rFonts w:ascii="Times New Roman" w:hAnsi="Times New Roman" w:cs="Times New Roman"/>
          <w:color w:val="000000"/>
          <w:sz w:val="24"/>
          <w:szCs w:val="24"/>
        </w:rPr>
        <w:t xml:space="preserve"> remittances. The country’s exports also dropped during this period. All these chain reactions are in accordance with the DD theory. The later years bring rate appreciation once again.</w:t>
      </w:r>
      <w:r w:rsidRPr="00DE7930">
        <w:rPr>
          <w:rFonts w:ascii="Times New Roman" w:hAnsi="Times New Roman" w:cs="Times New Roman"/>
          <w:color w:val="000000"/>
          <w:sz w:val="24"/>
          <w:szCs w:val="24"/>
        </w:rPr>
        <w:t xml:space="preserve"> </w:t>
      </w:r>
      <w:r w:rsidR="004064F9">
        <w:rPr>
          <w:rFonts w:ascii="Times New Roman" w:hAnsi="Times New Roman" w:cs="Times New Roman"/>
          <w:color w:val="000000"/>
          <w:sz w:val="24"/>
          <w:szCs w:val="24"/>
        </w:rPr>
        <w:t>Understandably,</w:t>
      </w:r>
      <w:r w:rsidRPr="00DE7930">
        <w:rPr>
          <w:rFonts w:ascii="Times New Roman" w:hAnsi="Times New Roman" w:cs="Times New Roman"/>
          <w:color w:val="000000"/>
          <w:sz w:val="24"/>
          <w:szCs w:val="24"/>
        </w:rPr>
        <w:t xml:space="preserve"> </w:t>
      </w:r>
      <w:r w:rsidR="004064F9">
        <w:rPr>
          <w:rFonts w:ascii="Times New Roman" w:hAnsi="Times New Roman" w:cs="Times New Roman"/>
          <w:color w:val="000000"/>
          <w:sz w:val="24"/>
          <w:szCs w:val="24"/>
        </w:rPr>
        <w:t>t</w:t>
      </w:r>
      <w:r w:rsidR="00F144D3" w:rsidRPr="00DE7930">
        <w:rPr>
          <w:rFonts w:ascii="Times New Roman" w:hAnsi="Times New Roman" w:cs="Times New Roman"/>
          <w:color w:val="000000"/>
          <w:sz w:val="24"/>
          <w:szCs w:val="24"/>
        </w:rPr>
        <w:t>he first step of the diagnoses confirms the paper’s theory of the Dutch Disease existence in Armenia.</w:t>
      </w:r>
    </w:p>
    <w:p w:rsidR="00B02BB1" w:rsidRDefault="00B02BB1" w:rsidP="004064F9">
      <w:pPr>
        <w:spacing w:after="0" w:line="480" w:lineRule="auto"/>
        <w:ind w:firstLine="540"/>
        <w:jc w:val="both"/>
        <w:rPr>
          <w:rFonts w:ascii="Times New Roman" w:hAnsi="Times New Roman" w:cs="Times New Roman"/>
          <w:color w:val="000000"/>
          <w:sz w:val="24"/>
          <w:szCs w:val="24"/>
        </w:rPr>
      </w:pPr>
    </w:p>
    <w:p w:rsidR="00B02BB1" w:rsidRDefault="00B02BB1" w:rsidP="00B02BB1">
      <w:pPr>
        <w:spacing w:after="0" w:line="480" w:lineRule="auto"/>
        <w:jc w:val="both"/>
        <w:rPr>
          <w:rFonts w:ascii="Times New Roman" w:hAnsi="Times New Roman" w:cs="Times New Roman"/>
          <w:color w:val="000000"/>
          <w:sz w:val="24"/>
          <w:szCs w:val="24"/>
        </w:rPr>
      </w:pPr>
    </w:p>
    <w:p w:rsidR="00B02BB1" w:rsidRPr="00DE7930" w:rsidRDefault="00B02BB1" w:rsidP="00B02BB1">
      <w:pPr>
        <w:spacing w:after="0" w:line="480" w:lineRule="auto"/>
        <w:jc w:val="both"/>
        <w:rPr>
          <w:rFonts w:ascii="Times New Roman" w:hAnsi="Times New Roman" w:cs="Times New Roman"/>
          <w:color w:val="000000"/>
          <w:sz w:val="24"/>
          <w:szCs w:val="24"/>
        </w:rPr>
      </w:pPr>
    </w:p>
    <w:p w:rsidR="0051298B" w:rsidRPr="00DE7930" w:rsidRDefault="0051298B" w:rsidP="00DE7930">
      <w:pPr>
        <w:spacing w:after="0" w:line="480" w:lineRule="auto"/>
        <w:ind w:firstLine="540"/>
        <w:jc w:val="both"/>
        <w:rPr>
          <w:rFonts w:ascii="Times New Roman" w:hAnsi="Times New Roman" w:cs="Times New Roman"/>
          <w:color w:val="000000"/>
          <w:sz w:val="24"/>
          <w:szCs w:val="24"/>
        </w:rPr>
      </w:pPr>
    </w:p>
    <w:p w:rsidR="004F1594" w:rsidRPr="008B1F47" w:rsidRDefault="00DF2A2B" w:rsidP="00DE7930">
      <w:pPr>
        <w:spacing w:after="0" w:line="480" w:lineRule="auto"/>
        <w:ind w:firstLine="54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lastRenderedPageBreak/>
        <w:t xml:space="preserve">Step </w:t>
      </w:r>
      <w:r w:rsidR="004F1594" w:rsidRPr="008B1F47">
        <w:rPr>
          <w:rFonts w:ascii="Times New Roman" w:hAnsi="Times New Roman" w:cs="Times New Roman"/>
          <w:color w:val="000000"/>
          <w:sz w:val="28"/>
          <w:szCs w:val="28"/>
          <w:u w:val="single"/>
        </w:rPr>
        <w:t xml:space="preserve">2. </w:t>
      </w:r>
      <w:r w:rsidR="002B6BE1" w:rsidRPr="008B1F47">
        <w:rPr>
          <w:rFonts w:ascii="Times New Roman" w:hAnsi="Times New Roman" w:cs="Times New Roman"/>
          <w:color w:val="000000"/>
          <w:sz w:val="28"/>
          <w:szCs w:val="28"/>
          <w:u w:val="single"/>
        </w:rPr>
        <w:t xml:space="preserve">High </w:t>
      </w:r>
      <w:r w:rsidR="004F1594" w:rsidRPr="008B1F47">
        <w:rPr>
          <w:rFonts w:ascii="Times New Roman" w:hAnsi="Times New Roman" w:cs="Times New Roman"/>
          <w:color w:val="000000"/>
          <w:sz w:val="28"/>
          <w:szCs w:val="28"/>
          <w:u w:val="single"/>
        </w:rPr>
        <w:t xml:space="preserve">Inflation Rate </w:t>
      </w:r>
    </w:p>
    <w:p w:rsidR="00592545" w:rsidRDefault="002B6BE1" w:rsidP="00EA4456">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In</w:t>
      </w:r>
      <w:r w:rsidR="00624A48">
        <w:rPr>
          <w:rFonts w:ascii="Times New Roman" w:hAnsi="Times New Roman" w:cs="Times New Roman"/>
          <w:color w:val="000000"/>
          <w:sz w:val="24"/>
          <w:szCs w:val="24"/>
        </w:rPr>
        <w:t xml:space="preserve"> the</w:t>
      </w:r>
      <w:r w:rsidRPr="00DE7930">
        <w:rPr>
          <w:rFonts w:ascii="Times New Roman" w:hAnsi="Times New Roman" w:cs="Times New Roman"/>
          <w:color w:val="000000"/>
          <w:sz w:val="24"/>
          <w:szCs w:val="24"/>
        </w:rPr>
        <w:t xml:space="preserve"> theory a country with the Dutch Disease would have high inflation due to capital inflow from foreign direct investment. </w:t>
      </w:r>
      <w:r w:rsidR="00E03D86" w:rsidRPr="00DE7930">
        <w:rPr>
          <w:rFonts w:ascii="Times New Roman" w:hAnsi="Times New Roman" w:cs="Times New Roman"/>
          <w:color w:val="000000"/>
          <w:sz w:val="24"/>
          <w:szCs w:val="24"/>
        </w:rPr>
        <w:t>Table 1 shows the core inflation in Armenia to be relatively low. The core inflation is based on the CPI and excludes certain goods to prevent volatility.</w:t>
      </w:r>
      <w:r w:rsidRPr="00DE7930">
        <w:rPr>
          <w:rFonts w:ascii="Times New Roman" w:hAnsi="Times New Roman" w:cs="Times New Roman"/>
          <w:color w:val="000000"/>
          <w:sz w:val="24"/>
          <w:szCs w:val="24"/>
        </w:rPr>
        <w:t xml:space="preserve"> </w:t>
      </w:r>
    </w:p>
    <w:p w:rsidR="00EA4456" w:rsidRPr="001F672F" w:rsidRDefault="00EA4456" w:rsidP="00EA4456">
      <w:pPr>
        <w:spacing w:after="0" w:line="480" w:lineRule="auto"/>
        <w:ind w:firstLine="540"/>
        <w:jc w:val="both"/>
        <w:rPr>
          <w:rFonts w:ascii="Times New Roman" w:hAnsi="Times New Roman" w:cs="Times New Roman"/>
          <w:color w:val="000000"/>
          <w:sz w:val="24"/>
          <w:szCs w:val="24"/>
        </w:rPr>
      </w:pPr>
    </w:p>
    <w:tbl>
      <w:tblPr>
        <w:tblStyle w:val="TableGrid"/>
        <w:tblW w:w="9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511"/>
        <w:gridCol w:w="1708"/>
        <w:gridCol w:w="1770"/>
        <w:gridCol w:w="1748"/>
        <w:gridCol w:w="18"/>
      </w:tblGrid>
      <w:tr w:rsidR="00FA349F" w:rsidRPr="00FA349F" w:rsidTr="002A6FA3">
        <w:trPr>
          <w:gridAfter w:val="1"/>
          <w:wAfter w:w="18" w:type="dxa"/>
        </w:trPr>
        <w:tc>
          <w:tcPr>
            <w:tcW w:w="2268" w:type="dxa"/>
            <w:tcBorders>
              <w:top w:val="single" w:sz="4" w:space="0" w:color="auto"/>
            </w:tcBorders>
            <w:hideMark/>
          </w:tcPr>
          <w:p w:rsidR="0038650A" w:rsidRPr="002A6FA3" w:rsidRDefault="0038650A" w:rsidP="008B1F47">
            <w:pPr>
              <w:spacing w:line="360" w:lineRule="auto"/>
              <w:ind w:firstLine="547"/>
              <w:jc w:val="both"/>
              <w:rPr>
                <w:rFonts w:ascii="Times New Roman" w:eastAsia="Times New Roman" w:hAnsi="Times New Roman" w:cs="Times New Roman"/>
                <w:sz w:val="24"/>
                <w:szCs w:val="24"/>
              </w:rPr>
            </w:pPr>
          </w:p>
        </w:tc>
        <w:tc>
          <w:tcPr>
            <w:tcW w:w="1511" w:type="dxa"/>
            <w:tcBorders>
              <w:top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b/>
                <w:sz w:val="24"/>
                <w:szCs w:val="24"/>
              </w:rPr>
            </w:pPr>
            <w:r w:rsidRPr="00FA349F">
              <w:rPr>
                <w:rFonts w:ascii="Times New Roman" w:eastAsia="Times New Roman" w:hAnsi="Times New Roman" w:cs="Times New Roman"/>
                <w:b/>
                <w:sz w:val="24"/>
                <w:szCs w:val="24"/>
              </w:rPr>
              <w:t>2014</w:t>
            </w:r>
          </w:p>
        </w:tc>
        <w:tc>
          <w:tcPr>
            <w:tcW w:w="1708" w:type="dxa"/>
            <w:tcBorders>
              <w:top w:val="single" w:sz="4" w:space="0" w:color="auto"/>
            </w:tcBorders>
            <w:hideMark/>
          </w:tcPr>
          <w:p w:rsidR="0038650A" w:rsidRPr="00FA349F" w:rsidRDefault="00B5012E" w:rsidP="008B1F47">
            <w:pPr>
              <w:spacing w:line="360" w:lineRule="auto"/>
              <w:ind w:firstLine="547"/>
              <w:jc w:val="both"/>
              <w:rPr>
                <w:rFonts w:ascii="Times New Roman" w:eastAsia="Times New Roman" w:hAnsi="Times New Roman" w:cs="Times New Roman"/>
                <w:b/>
                <w:sz w:val="24"/>
                <w:szCs w:val="24"/>
              </w:rPr>
            </w:pPr>
            <w:r w:rsidRPr="00FA349F">
              <w:rPr>
                <w:rFonts w:ascii="Times New Roman" w:eastAsia="Times New Roman" w:hAnsi="Times New Roman" w:cs="Times New Roman"/>
                <w:b/>
                <w:sz w:val="24"/>
                <w:szCs w:val="24"/>
              </w:rPr>
              <w:t>2013</w:t>
            </w:r>
          </w:p>
        </w:tc>
        <w:tc>
          <w:tcPr>
            <w:tcW w:w="1770" w:type="dxa"/>
            <w:tcBorders>
              <w:top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b/>
                <w:sz w:val="24"/>
                <w:szCs w:val="24"/>
              </w:rPr>
            </w:pPr>
            <w:r w:rsidRPr="00FA349F">
              <w:rPr>
                <w:rFonts w:ascii="Times New Roman" w:eastAsia="Times New Roman" w:hAnsi="Times New Roman" w:cs="Times New Roman"/>
                <w:b/>
                <w:sz w:val="24"/>
                <w:szCs w:val="24"/>
              </w:rPr>
              <w:t>Highest</w:t>
            </w:r>
          </w:p>
        </w:tc>
        <w:tc>
          <w:tcPr>
            <w:tcW w:w="1748" w:type="dxa"/>
            <w:tcBorders>
              <w:top w:val="single" w:sz="4" w:space="0" w:color="auto"/>
            </w:tcBorders>
            <w:hideMark/>
          </w:tcPr>
          <w:p w:rsidR="0038650A" w:rsidRPr="00FA349F" w:rsidRDefault="00445D17" w:rsidP="008B1F47">
            <w:pPr>
              <w:spacing w:line="360" w:lineRule="auto"/>
              <w:ind w:firstLine="547"/>
              <w:jc w:val="both"/>
              <w:rPr>
                <w:rFonts w:ascii="Times New Roman" w:eastAsia="Times New Roman" w:hAnsi="Times New Roman" w:cs="Times New Roman"/>
                <w:b/>
                <w:sz w:val="24"/>
                <w:szCs w:val="24"/>
              </w:rPr>
            </w:pPr>
            <w:r w:rsidRPr="00FA349F">
              <w:rPr>
                <w:rFonts w:ascii="Times New Roman" w:eastAsia="Times New Roman" w:hAnsi="Times New Roman" w:cs="Times New Roman"/>
                <w:b/>
                <w:sz w:val="24"/>
                <w:szCs w:val="24"/>
              </w:rPr>
              <w:t>Lowes</w:t>
            </w:r>
            <w:r w:rsidR="0038650A" w:rsidRPr="00FA349F">
              <w:rPr>
                <w:rFonts w:ascii="Times New Roman" w:eastAsia="Times New Roman" w:hAnsi="Times New Roman" w:cs="Times New Roman"/>
                <w:b/>
                <w:sz w:val="24"/>
                <w:szCs w:val="24"/>
              </w:rPr>
              <w:t>t</w:t>
            </w:r>
          </w:p>
        </w:tc>
      </w:tr>
      <w:tr w:rsidR="00FA349F" w:rsidRPr="00FA349F" w:rsidTr="002A6FA3">
        <w:tc>
          <w:tcPr>
            <w:tcW w:w="2268" w:type="dxa"/>
            <w:tcBorders>
              <w:bottom w:val="single" w:sz="4" w:space="0" w:color="auto"/>
            </w:tcBorders>
            <w:hideMark/>
          </w:tcPr>
          <w:p w:rsidR="0038650A" w:rsidRPr="002A6FA3" w:rsidRDefault="008A4DAA" w:rsidP="00EA4456">
            <w:pPr>
              <w:spacing w:line="360" w:lineRule="auto"/>
              <w:ind w:firstLine="547"/>
              <w:jc w:val="both"/>
              <w:rPr>
                <w:rFonts w:ascii="Times New Roman" w:eastAsia="Times New Roman" w:hAnsi="Times New Roman" w:cs="Times New Roman"/>
                <w:sz w:val="24"/>
                <w:szCs w:val="24"/>
              </w:rPr>
            </w:pPr>
            <w:hyperlink r:id="rId13" w:history="1">
              <w:r w:rsidR="00EA4456" w:rsidRPr="002A6FA3">
                <w:rPr>
                  <w:rFonts w:ascii="Times New Roman" w:eastAsia="Times New Roman" w:hAnsi="Times New Roman" w:cs="Times New Roman"/>
                  <w:sz w:val="24"/>
                  <w:szCs w:val="24"/>
                </w:rPr>
                <w:t>Core Inflation</w:t>
              </w:r>
            </w:hyperlink>
          </w:p>
        </w:tc>
        <w:tc>
          <w:tcPr>
            <w:tcW w:w="1511" w:type="dxa"/>
            <w:tcBorders>
              <w:bottom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sz w:val="24"/>
                <w:szCs w:val="24"/>
              </w:rPr>
            </w:pPr>
            <w:r w:rsidRPr="00FA349F">
              <w:rPr>
                <w:rFonts w:ascii="Times New Roman" w:eastAsia="Times New Roman" w:hAnsi="Times New Roman" w:cs="Times New Roman"/>
                <w:sz w:val="24"/>
                <w:szCs w:val="24"/>
              </w:rPr>
              <w:t>0.81</w:t>
            </w:r>
          </w:p>
        </w:tc>
        <w:tc>
          <w:tcPr>
            <w:tcW w:w="1708" w:type="dxa"/>
            <w:tcBorders>
              <w:bottom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sz w:val="24"/>
                <w:szCs w:val="24"/>
              </w:rPr>
            </w:pPr>
            <w:r w:rsidRPr="00FA349F">
              <w:rPr>
                <w:rFonts w:ascii="Times New Roman" w:eastAsia="Times New Roman" w:hAnsi="Times New Roman" w:cs="Times New Roman"/>
                <w:sz w:val="24"/>
                <w:szCs w:val="24"/>
              </w:rPr>
              <w:t>0.63</w:t>
            </w:r>
          </w:p>
        </w:tc>
        <w:tc>
          <w:tcPr>
            <w:tcW w:w="0" w:type="auto"/>
            <w:tcBorders>
              <w:bottom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sz w:val="24"/>
                <w:szCs w:val="24"/>
              </w:rPr>
            </w:pPr>
            <w:r w:rsidRPr="00FA349F">
              <w:rPr>
                <w:rFonts w:ascii="Times New Roman" w:eastAsia="Times New Roman" w:hAnsi="Times New Roman" w:cs="Times New Roman"/>
                <w:sz w:val="24"/>
                <w:szCs w:val="24"/>
              </w:rPr>
              <w:t>7.60</w:t>
            </w:r>
          </w:p>
        </w:tc>
        <w:tc>
          <w:tcPr>
            <w:tcW w:w="1766" w:type="dxa"/>
            <w:gridSpan w:val="2"/>
            <w:tcBorders>
              <w:bottom w:val="single" w:sz="4" w:space="0" w:color="auto"/>
            </w:tcBorders>
            <w:hideMark/>
          </w:tcPr>
          <w:p w:rsidR="0038650A" w:rsidRPr="00FA349F" w:rsidRDefault="0038650A" w:rsidP="008B1F47">
            <w:pPr>
              <w:spacing w:line="360" w:lineRule="auto"/>
              <w:ind w:firstLine="547"/>
              <w:jc w:val="both"/>
              <w:rPr>
                <w:rFonts w:ascii="Times New Roman" w:eastAsia="Times New Roman" w:hAnsi="Times New Roman" w:cs="Times New Roman"/>
                <w:sz w:val="24"/>
                <w:szCs w:val="24"/>
              </w:rPr>
            </w:pPr>
            <w:r w:rsidRPr="00FA349F">
              <w:rPr>
                <w:rFonts w:ascii="Times New Roman" w:eastAsia="Times New Roman" w:hAnsi="Times New Roman" w:cs="Times New Roman"/>
                <w:sz w:val="24"/>
                <w:szCs w:val="24"/>
              </w:rPr>
              <w:t>0.43</w:t>
            </w:r>
          </w:p>
        </w:tc>
      </w:tr>
    </w:tbl>
    <w:p w:rsidR="008B1F47" w:rsidRDefault="008B1F47" w:rsidP="008B1F47">
      <w:pPr>
        <w:spacing w:after="0" w:line="240" w:lineRule="auto"/>
        <w:ind w:firstLine="547"/>
        <w:jc w:val="right"/>
        <w:rPr>
          <w:rFonts w:ascii="Times New Roman" w:eastAsia="Times New Roman" w:hAnsi="Times New Roman" w:cs="Times New Roman"/>
          <w:i/>
          <w:color w:val="000000"/>
          <w:sz w:val="24"/>
          <w:szCs w:val="24"/>
        </w:rPr>
      </w:pPr>
    </w:p>
    <w:p w:rsidR="0038650A" w:rsidRPr="00DE7930" w:rsidRDefault="0038650A" w:rsidP="008B1F47">
      <w:pPr>
        <w:spacing w:after="0" w:line="240" w:lineRule="auto"/>
        <w:ind w:firstLine="547"/>
        <w:jc w:val="right"/>
        <w:rPr>
          <w:rFonts w:ascii="Times New Roman" w:eastAsia="Times New Roman" w:hAnsi="Times New Roman" w:cs="Times New Roman"/>
          <w:i/>
          <w:color w:val="000000"/>
          <w:sz w:val="24"/>
          <w:szCs w:val="24"/>
        </w:rPr>
      </w:pPr>
      <w:r w:rsidRPr="00DE7930">
        <w:rPr>
          <w:rFonts w:ascii="Times New Roman" w:eastAsia="Times New Roman" w:hAnsi="Times New Roman" w:cs="Times New Roman"/>
          <w:i/>
          <w:color w:val="000000"/>
          <w:sz w:val="24"/>
          <w:szCs w:val="24"/>
        </w:rPr>
        <w:t>Table 1</w:t>
      </w:r>
    </w:p>
    <w:p w:rsidR="00E03D86" w:rsidRPr="00DE7930" w:rsidRDefault="00E03D86" w:rsidP="008B1F47">
      <w:pPr>
        <w:spacing w:after="0" w:line="240" w:lineRule="auto"/>
        <w:ind w:firstLine="547"/>
        <w:jc w:val="right"/>
        <w:rPr>
          <w:rStyle w:val="Hyperlink"/>
          <w:rFonts w:ascii="Times New Roman" w:eastAsia="Times New Roman" w:hAnsi="Times New Roman" w:cs="Times New Roman"/>
          <w:i/>
          <w:color w:val="auto"/>
          <w:sz w:val="24"/>
          <w:szCs w:val="24"/>
          <w:u w:val="none"/>
        </w:rPr>
      </w:pPr>
      <w:r w:rsidRPr="00DE7930">
        <w:rPr>
          <w:rFonts w:ascii="Times New Roman" w:eastAsia="Times New Roman" w:hAnsi="Times New Roman" w:cs="Times New Roman"/>
          <w:i/>
          <w:color w:val="000000"/>
          <w:sz w:val="24"/>
          <w:szCs w:val="24"/>
        </w:rPr>
        <w:t>Source</w:t>
      </w:r>
      <w:r w:rsidR="00592545">
        <w:rPr>
          <w:rFonts w:ascii="Times New Roman" w:eastAsia="Times New Roman" w:hAnsi="Times New Roman" w:cs="Times New Roman"/>
          <w:i/>
          <w:color w:val="000000"/>
          <w:sz w:val="24"/>
          <w:szCs w:val="24"/>
        </w:rPr>
        <w:t>: Trading Economics</w:t>
      </w:r>
      <w:r w:rsidR="00592545">
        <w:rPr>
          <w:rStyle w:val="FootnoteReference"/>
          <w:rFonts w:ascii="Times New Roman" w:eastAsia="Times New Roman" w:hAnsi="Times New Roman" w:cs="Times New Roman"/>
          <w:i/>
          <w:color w:val="000000"/>
          <w:sz w:val="24"/>
          <w:szCs w:val="24"/>
        </w:rPr>
        <w:footnoteReference w:id="2"/>
      </w:r>
    </w:p>
    <w:p w:rsidR="002B7B96" w:rsidRPr="00DE7930" w:rsidRDefault="002B7B96" w:rsidP="008F314A">
      <w:pPr>
        <w:spacing w:after="0" w:line="480" w:lineRule="auto"/>
        <w:jc w:val="both"/>
        <w:rPr>
          <w:rStyle w:val="Hyperlink"/>
          <w:rFonts w:ascii="Times New Roman" w:eastAsia="Times New Roman" w:hAnsi="Times New Roman" w:cs="Times New Roman"/>
          <w:i/>
          <w:color w:val="auto"/>
          <w:sz w:val="24"/>
          <w:szCs w:val="24"/>
          <w:u w:val="none"/>
        </w:rPr>
      </w:pPr>
    </w:p>
    <w:p w:rsidR="00445D17" w:rsidRPr="00DE7930" w:rsidRDefault="00445D17" w:rsidP="00DE7930">
      <w:pPr>
        <w:spacing w:after="0" w:line="480" w:lineRule="auto"/>
        <w:ind w:firstLine="540"/>
        <w:jc w:val="both"/>
        <w:rPr>
          <w:rFonts w:ascii="Times New Roman" w:eastAsia="Times New Roman" w:hAnsi="Times New Roman" w:cs="Times New Roman"/>
          <w:i/>
          <w:color w:val="000000"/>
          <w:sz w:val="24"/>
          <w:szCs w:val="24"/>
        </w:rPr>
      </w:pPr>
    </w:p>
    <w:p w:rsidR="006764D2" w:rsidRPr="00DE7930" w:rsidRDefault="00FF3CCD" w:rsidP="00F25613">
      <w:pPr>
        <w:spacing w:after="0" w:line="480" w:lineRule="auto"/>
        <w:ind w:firstLine="180"/>
        <w:jc w:val="both"/>
        <w:rPr>
          <w:rFonts w:ascii="Times New Roman" w:eastAsia="Times New Roman" w:hAnsi="Times New Roman" w:cs="Times New Roman"/>
          <w:i/>
          <w:color w:val="000000"/>
          <w:sz w:val="24"/>
          <w:szCs w:val="24"/>
        </w:rPr>
      </w:pPr>
      <w:r w:rsidRPr="00DE7930">
        <w:rPr>
          <w:rFonts w:ascii="Times New Roman" w:hAnsi="Times New Roman" w:cs="Times New Roman"/>
          <w:noProof/>
          <w:sz w:val="24"/>
          <w:szCs w:val="24"/>
        </w:rPr>
        <w:drawing>
          <wp:inline distT="0" distB="0" distL="0" distR="0" wp14:anchorId="75AD3FBC" wp14:editId="1272F98C">
            <wp:extent cx="5252484" cy="3934046"/>
            <wp:effectExtent l="0" t="0" r="2476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3CCD" w:rsidRPr="00DE7930" w:rsidRDefault="00FF3CCD" w:rsidP="001F672F">
      <w:pPr>
        <w:spacing w:after="0" w:line="240" w:lineRule="auto"/>
        <w:ind w:firstLine="547"/>
        <w:jc w:val="right"/>
        <w:rPr>
          <w:rFonts w:ascii="Times New Roman" w:eastAsia="Times New Roman" w:hAnsi="Times New Roman" w:cs="Times New Roman"/>
          <w:i/>
          <w:color w:val="000000"/>
          <w:sz w:val="24"/>
          <w:szCs w:val="24"/>
        </w:rPr>
      </w:pPr>
      <w:r w:rsidRPr="00DE7930">
        <w:rPr>
          <w:rFonts w:ascii="Times New Roman" w:eastAsia="Times New Roman" w:hAnsi="Times New Roman" w:cs="Times New Roman"/>
          <w:i/>
          <w:color w:val="000000"/>
          <w:sz w:val="24"/>
          <w:szCs w:val="24"/>
        </w:rPr>
        <w:t>Figure 4</w:t>
      </w:r>
    </w:p>
    <w:p w:rsidR="002B6BE1" w:rsidRPr="00EA4456" w:rsidRDefault="00FF3CCD" w:rsidP="00EA4456">
      <w:pPr>
        <w:spacing w:after="0" w:line="240" w:lineRule="auto"/>
        <w:ind w:firstLine="547"/>
        <w:jc w:val="right"/>
        <w:rPr>
          <w:rFonts w:ascii="Times New Roman" w:eastAsia="Times New Roman" w:hAnsi="Times New Roman" w:cs="Times New Roman"/>
          <w:i/>
          <w:color w:val="000000"/>
          <w:sz w:val="24"/>
          <w:szCs w:val="24"/>
        </w:rPr>
      </w:pPr>
      <w:r w:rsidRPr="00DE7930">
        <w:rPr>
          <w:rFonts w:ascii="Times New Roman" w:eastAsia="Times New Roman" w:hAnsi="Times New Roman" w:cs="Times New Roman"/>
          <w:i/>
          <w:color w:val="000000"/>
          <w:sz w:val="24"/>
          <w:szCs w:val="24"/>
        </w:rPr>
        <w:t>Source World Bank Database</w:t>
      </w:r>
      <w:r w:rsidR="001C4E0E">
        <w:rPr>
          <w:rFonts w:ascii="Times New Roman" w:eastAsia="Times New Roman" w:hAnsi="Times New Roman" w:cs="Times New Roman"/>
          <w:i/>
          <w:color w:val="000000"/>
          <w:sz w:val="24"/>
          <w:szCs w:val="24"/>
        </w:rPr>
        <w:t xml:space="preserve">, </w:t>
      </w:r>
      <w:r w:rsidR="001C4E0E">
        <w:rPr>
          <w:rFonts w:ascii="Times New Roman" w:hAnsi="Times New Roman" w:cs="Times New Roman"/>
          <w:i/>
          <w:color w:val="000000"/>
          <w:sz w:val="24"/>
          <w:szCs w:val="24"/>
        </w:rPr>
        <w:t>Authors calculations</w:t>
      </w:r>
    </w:p>
    <w:p w:rsidR="00445D17" w:rsidRPr="00EA4456" w:rsidRDefault="001F672F" w:rsidP="00EA4456">
      <w:pPr>
        <w:spacing w:after="0" w:line="480" w:lineRule="auto"/>
        <w:ind w:firstLine="540"/>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lastRenderedPageBreak/>
        <w:t>Figure 4</w:t>
      </w:r>
      <w:r w:rsidR="001405F8" w:rsidRPr="00DE7930">
        <w:rPr>
          <w:rFonts w:ascii="Times New Roman" w:hAnsi="Times New Roman" w:cs="Times New Roman"/>
          <w:color w:val="000000"/>
          <w:sz w:val="24"/>
          <w:szCs w:val="24"/>
        </w:rPr>
        <w:t xml:space="preserve"> illustrates a combined trend of annual </w:t>
      </w:r>
      <w:r w:rsidR="001405F8" w:rsidRPr="00DE7930">
        <w:rPr>
          <w:rFonts w:ascii="Times New Roman" w:eastAsia="Times New Roman" w:hAnsi="Times New Roman" w:cs="Times New Roman"/>
          <w:color w:val="000000"/>
          <w:sz w:val="24"/>
          <w:szCs w:val="24"/>
        </w:rPr>
        <w:t xml:space="preserve">inflation by consumer prices and net inflows foreign direct investment as a percentage of GDP. With a negative correlation of -2.89, the trends confirm that FDI doesn’t affect inflation </w:t>
      </w:r>
      <w:r w:rsidR="00F25613">
        <w:rPr>
          <w:rFonts w:ascii="Times New Roman" w:eastAsia="Times New Roman" w:hAnsi="Times New Roman" w:cs="Times New Roman"/>
          <w:color w:val="000000"/>
          <w:sz w:val="24"/>
          <w:szCs w:val="24"/>
        </w:rPr>
        <w:t>as expected by the DD theory</w:t>
      </w:r>
      <w:r w:rsidR="001405F8" w:rsidRPr="00DE7930">
        <w:rPr>
          <w:rFonts w:ascii="Times New Roman" w:eastAsia="Times New Roman" w:hAnsi="Times New Roman" w:cs="Times New Roman"/>
          <w:color w:val="000000"/>
          <w:sz w:val="24"/>
          <w:szCs w:val="24"/>
        </w:rPr>
        <w:t>.</w:t>
      </w:r>
    </w:p>
    <w:p w:rsidR="00E03D86" w:rsidRPr="00DE7930" w:rsidRDefault="00E03D86" w:rsidP="00DE7930">
      <w:pPr>
        <w:spacing w:after="0" w:line="480" w:lineRule="auto"/>
        <w:ind w:firstLine="540"/>
        <w:jc w:val="both"/>
        <w:rPr>
          <w:rFonts w:ascii="Times New Roman" w:eastAsia="Times New Roman" w:hAnsi="Times New Roman" w:cs="Times New Roman"/>
          <w:color w:val="000000"/>
          <w:sz w:val="24"/>
          <w:szCs w:val="24"/>
        </w:rPr>
      </w:pPr>
    </w:p>
    <w:p w:rsidR="002D5C2F" w:rsidRPr="00DE7930" w:rsidRDefault="00445D17" w:rsidP="00F25613">
      <w:pPr>
        <w:spacing w:after="0" w:line="480" w:lineRule="auto"/>
        <w:jc w:val="both"/>
        <w:rPr>
          <w:rFonts w:ascii="Times New Roman" w:hAnsi="Times New Roman" w:cs="Times New Roman"/>
          <w:color w:val="000000"/>
          <w:sz w:val="24"/>
          <w:szCs w:val="24"/>
        </w:rPr>
      </w:pPr>
      <w:r w:rsidRPr="00DE7930">
        <w:rPr>
          <w:rFonts w:ascii="Times New Roman" w:hAnsi="Times New Roman" w:cs="Times New Roman"/>
          <w:noProof/>
          <w:sz w:val="24"/>
          <w:szCs w:val="24"/>
        </w:rPr>
        <w:drawing>
          <wp:inline distT="0" distB="0" distL="0" distR="0" wp14:anchorId="5FDC3910" wp14:editId="1E860669">
            <wp:extent cx="5380074" cy="3009014"/>
            <wp:effectExtent l="0" t="0" r="11430" b="203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1336" w:rsidRPr="00DE7930" w:rsidRDefault="00890C2F" w:rsidP="008F314A">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 5</w:t>
      </w:r>
    </w:p>
    <w:p w:rsidR="000D1336" w:rsidRPr="00DE7930" w:rsidRDefault="00445D17" w:rsidP="008F314A">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 CBA Statistics</w:t>
      </w:r>
      <w:r w:rsidR="001C4E0E">
        <w:rPr>
          <w:rFonts w:ascii="Times New Roman" w:hAnsi="Times New Roman" w:cs="Times New Roman"/>
          <w:i/>
          <w:color w:val="000000"/>
          <w:sz w:val="24"/>
          <w:szCs w:val="24"/>
        </w:rPr>
        <w:t>, Authors calculations</w:t>
      </w:r>
    </w:p>
    <w:p w:rsidR="000D1336" w:rsidRPr="00DE7930" w:rsidRDefault="00445D17" w:rsidP="00DE7930">
      <w:pPr>
        <w:spacing w:after="0" w:line="480" w:lineRule="auto"/>
        <w:ind w:firstLine="540"/>
        <w:jc w:val="both"/>
        <w:rPr>
          <w:rFonts w:ascii="Times New Roman" w:hAnsi="Times New Roman" w:cs="Times New Roman"/>
          <w:color w:val="000000"/>
          <w:sz w:val="24"/>
          <w:szCs w:val="24"/>
          <w:u w:val="single"/>
        </w:rPr>
      </w:pPr>
      <w:r w:rsidRPr="00DE7930">
        <w:rPr>
          <w:rFonts w:ascii="Times New Roman" w:hAnsi="Times New Roman" w:cs="Times New Roman"/>
          <w:color w:val="000000"/>
          <w:sz w:val="24"/>
          <w:szCs w:val="24"/>
          <w:u w:val="single"/>
        </w:rPr>
        <w:t xml:space="preserve"> </w:t>
      </w:r>
    </w:p>
    <w:p w:rsidR="00A14465" w:rsidRDefault="001405F8" w:rsidP="00DC7714">
      <w:pPr>
        <w:spacing w:after="0" w:line="480" w:lineRule="auto"/>
        <w:ind w:firstLine="540"/>
        <w:jc w:val="both"/>
        <w:rPr>
          <w:rFonts w:ascii="Times New Roman" w:eastAsia="Times New Roman" w:hAnsi="Times New Roman" w:cs="Times New Roman"/>
          <w:color w:val="000000"/>
          <w:sz w:val="24"/>
          <w:szCs w:val="24"/>
        </w:rPr>
      </w:pPr>
      <w:r w:rsidRPr="00DE7930">
        <w:rPr>
          <w:rFonts w:ascii="Times New Roman" w:eastAsia="Times New Roman" w:hAnsi="Times New Roman" w:cs="Times New Roman"/>
          <w:color w:val="000000"/>
          <w:sz w:val="24"/>
          <w:szCs w:val="24"/>
        </w:rPr>
        <w:t>Figure 5 shows that monthly core inflation is trend stationary and the upwards trend is slight. Carefully controlled by the Central Bank, the inflation is not significantly affected by exchange ra</w:t>
      </w:r>
      <w:r w:rsidR="00624A48">
        <w:rPr>
          <w:rFonts w:ascii="Times New Roman" w:eastAsia="Times New Roman" w:hAnsi="Times New Roman" w:cs="Times New Roman"/>
          <w:color w:val="000000"/>
          <w:sz w:val="24"/>
          <w:szCs w:val="24"/>
        </w:rPr>
        <w:t>te or mining production</w:t>
      </w:r>
      <w:r w:rsidRPr="00DE7930">
        <w:rPr>
          <w:rFonts w:ascii="Times New Roman" w:eastAsia="Times New Roman" w:hAnsi="Times New Roman" w:cs="Times New Roman"/>
          <w:color w:val="000000"/>
          <w:sz w:val="24"/>
          <w:szCs w:val="24"/>
        </w:rPr>
        <w:t xml:space="preserve">. </w:t>
      </w:r>
      <w:r w:rsidR="00E02A36" w:rsidRPr="00DE7930">
        <w:rPr>
          <w:rFonts w:ascii="Times New Roman" w:eastAsia="Times New Roman" w:hAnsi="Times New Roman" w:cs="Times New Roman"/>
          <w:color w:val="000000"/>
          <w:sz w:val="24"/>
          <w:szCs w:val="24"/>
        </w:rPr>
        <w:t>Since in</w:t>
      </w:r>
      <w:r w:rsidR="00624A48">
        <w:rPr>
          <w:rFonts w:ascii="Times New Roman" w:eastAsia="Times New Roman" w:hAnsi="Times New Roman" w:cs="Times New Roman"/>
          <w:color w:val="000000"/>
          <w:sz w:val="24"/>
          <w:szCs w:val="24"/>
        </w:rPr>
        <w:t xml:space="preserve"> the</w:t>
      </w:r>
      <w:r w:rsidR="00E02A36" w:rsidRPr="00DE7930">
        <w:rPr>
          <w:rFonts w:ascii="Times New Roman" w:eastAsia="Times New Roman" w:hAnsi="Times New Roman" w:cs="Times New Roman"/>
          <w:color w:val="000000"/>
          <w:sz w:val="24"/>
          <w:szCs w:val="24"/>
        </w:rPr>
        <w:t xml:space="preserve"> theory RER is appreciated by domestic inflation and nominal exchange rate (NER), and depreciated by global inflation (Neinke Oomes, 2009), e</w:t>
      </w:r>
      <w:r w:rsidRPr="00DE7930">
        <w:rPr>
          <w:rFonts w:ascii="Times New Roman" w:eastAsia="Times New Roman" w:hAnsi="Times New Roman" w:cs="Times New Roman"/>
          <w:color w:val="000000"/>
          <w:sz w:val="24"/>
          <w:szCs w:val="24"/>
        </w:rPr>
        <w:t>xcluding inflation as the source of REER appreciation, leads to the result that the exchange rate apprecia</w:t>
      </w:r>
      <w:r w:rsidR="00E02A36" w:rsidRPr="00DE7930">
        <w:rPr>
          <w:rFonts w:ascii="Times New Roman" w:eastAsia="Times New Roman" w:hAnsi="Times New Roman" w:cs="Times New Roman"/>
          <w:color w:val="000000"/>
          <w:sz w:val="24"/>
          <w:szCs w:val="24"/>
        </w:rPr>
        <w:t xml:space="preserve">tes due to </w:t>
      </w:r>
      <w:r w:rsidRPr="00DE7930">
        <w:rPr>
          <w:rFonts w:ascii="Times New Roman" w:eastAsia="Times New Roman" w:hAnsi="Times New Roman" w:cs="Times New Roman"/>
          <w:color w:val="000000"/>
          <w:sz w:val="24"/>
          <w:szCs w:val="24"/>
        </w:rPr>
        <w:t>N</w:t>
      </w:r>
      <w:r w:rsidR="007871B6">
        <w:rPr>
          <w:rFonts w:ascii="Times New Roman" w:eastAsia="Times New Roman" w:hAnsi="Times New Roman" w:cs="Times New Roman"/>
          <w:color w:val="000000"/>
          <w:sz w:val="24"/>
          <w:szCs w:val="24"/>
        </w:rPr>
        <w:t>E</w:t>
      </w:r>
      <w:r w:rsidRPr="00DE7930">
        <w:rPr>
          <w:rFonts w:ascii="Times New Roman" w:eastAsia="Times New Roman" w:hAnsi="Times New Roman" w:cs="Times New Roman"/>
          <w:color w:val="000000"/>
          <w:sz w:val="24"/>
          <w:szCs w:val="24"/>
        </w:rPr>
        <w:t xml:space="preserve">ER appreciation. </w:t>
      </w:r>
      <w:r w:rsidR="007871B6">
        <w:rPr>
          <w:rFonts w:ascii="Times New Roman" w:eastAsia="Times New Roman" w:hAnsi="Times New Roman" w:cs="Times New Roman"/>
          <w:color w:val="000000"/>
          <w:sz w:val="24"/>
          <w:szCs w:val="24"/>
        </w:rPr>
        <w:t xml:space="preserve">The devaluation of the US dollar starting </w:t>
      </w:r>
      <w:r w:rsidR="00DC7714">
        <w:rPr>
          <w:rFonts w:ascii="Times New Roman" w:eastAsia="Times New Roman" w:hAnsi="Times New Roman" w:cs="Times New Roman"/>
          <w:color w:val="000000"/>
          <w:sz w:val="24"/>
          <w:szCs w:val="24"/>
        </w:rPr>
        <w:t xml:space="preserve">2005 confirms this theory in practice. </w:t>
      </w:r>
      <w:r w:rsidR="00DC7714">
        <w:rPr>
          <w:rFonts w:ascii="Times New Roman" w:hAnsi="Times New Roman" w:cs="Times New Roman"/>
          <w:sz w:val="24"/>
          <w:szCs w:val="24"/>
        </w:rPr>
        <w:t>In order to find the intensity of DD, the impact of USD exchange rate volatility on REER must be separated from the impact of natural resources production and export.</w:t>
      </w:r>
    </w:p>
    <w:p w:rsidR="00DC7714" w:rsidRPr="00DC7714" w:rsidRDefault="00DC7714" w:rsidP="00DC7714">
      <w:pPr>
        <w:spacing w:after="0" w:line="480" w:lineRule="auto"/>
        <w:ind w:firstLine="540"/>
        <w:jc w:val="both"/>
        <w:rPr>
          <w:rFonts w:ascii="Times New Roman" w:eastAsia="Times New Roman" w:hAnsi="Times New Roman" w:cs="Times New Roman"/>
          <w:color w:val="000000"/>
          <w:sz w:val="24"/>
          <w:szCs w:val="24"/>
        </w:rPr>
      </w:pPr>
    </w:p>
    <w:p w:rsidR="004F1594" w:rsidRPr="008F314A" w:rsidRDefault="00DF2A2B" w:rsidP="00DE7930">
      <w:pPr>
        <w:spacing w:after="0" w:line="480" w:lineRule="auto"/>
        <w:ind w:firstLine="54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lastRenderedPageBreak/>
        <w:t xml:space="preserve">Step </w:t>
      </w:r>
      <w:r w:rsidR="004F1594" w:rsidRPr="008F314A">
        <w:rPr>
          <w:rFonts w:ascii="Times New Roman" w:hAnsi="Times New Roman" w:cs="Times New Roman"/>
          <w:color w:val="000000"/>
          <w:sz w:val="28"/>
          <w:szCs w:val="28"/>
          <w:u w:val="single"/>
        </w:rPr>
        <w:t>3. Manufacturing Sector Decline</w:t>
      </w:r>
    </w:p>
    <w:p w:rsidR="00F1228A" w:rsidRPr="00DE7930" w:rsidRDefault="00D44E51" w:rsidP="00DE7930">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The theory states that the manufacturing sector is to decline, since</w:t>
      </w:r>
      <w:r w:rsidR="0002573D">
        <w:rPr>
          <w:rFonts w:ascii="Times New Roman" w:hAnsi="Times New Roman" w:cs="Times New Roman"/>
          <w:color w:val="000000"/>
          <w:sz w:val="24"/>
          <w:szCs w:val="24"/>
        </w:rPr>
        <w:t xml:space="preserve"> high</w:t>
      </w:r>
      <w:r w:rsidRPr="00DE7930">
        <w:rPr>
          <w:rFonts w:ascii="Times New Roman" w:hAnsi="Times New Roman" w:cs="Times New Roman"/>
          <w:color w:val="000000"/>
          <w:sz w:val="24"/>
          <w:szCs w:val="24"/>
        </w:rPr>
        <w:t xml:space="preserve"> </w:t>
      </w:r>
      <w:r w:rsidR="0002573D">
        <w:rPr>
          <w:rFonts w:ascii="Times New Roman" w:hAnsi="Times New Roman" w:cs="Times New Roman"/>
          <w:color w:val="000000"/>
          <w:sz w:val="24"/>
          <w:szCs w:val="24"/>
        </w:rPr>
        <w:t>RER</w:t>
      </w:r>
      <w:r w:rsidRPr="00DE7930">
        <w:rPr>
          <w:rFonts w:ascii="Times New Roman" w:hAnsi="Times New Roman" w:cs="Times New Roman"/>
          <w:color w:val="000000"/>
          <w:sz w:val="24"/>
          <w:szCs w:val="24"/>
        </w:rPr>
        <w:t xml:space="preserve"> has made manufacturing in foreign countries comparatively cheaper than the domestic country’s </w:t>
      </w:r>
      <w:r w:rsidR="0035764B" w:rsidRPr="00DE7930">
        <w:rPr>
          <w:rFonts w:ascii="Times New Roman" w:hAnsi="Times New Roman" w:cs="Times New Roman"/>
          <w:color w:val="000000"/>
          <w:sz w:val="24"/>
          <w:szCs w:val="24"/>
        </w:rPr>
        <w:t xml:space="preserve">products. </w:t>
      </w:r>
      <w:r w:rsidR="00FC3491" w:rsidRPr="00DE7930">
        <w:rPr>
          <w:rFonts w:ascii="Times New Roman" w:hAnsi="Times New Roman" w:cs="Times New Roman"/>
          <w:color w:val="000000"/>
          <w:sz w:val="24"/>
          <w:szCs w:val="24"/>
        </w:rPr>
        <w:t>If the condition is found in the economy, it is considered the most significant indi</w:t>
      </w:r>
      <w:r w:rsidR="0002573D">
        <w:rPr>
          <w:rFonts w:ascii="Times New Roman" w:hAnsi="Times New Roman" w:cs="Times New Roman"/>
          <w:color w:val="000000"/>
          <w:sz w:val="24"/>
          <w:szCs w:val="24"/>
        </w:rPr>
        <w:t>cator of Dutch Disease. A stable</w:t>
      </w:r>
      <w:r w:rsidR="00FC3491" w:rsidRPr="00DE7930">
        <w:rPr>
          <w:rFonts w:ascii="Times New Roman" w:hAnsi="Times New Roman" w:cs="Times New Roman"/>
          <w:color w:val="000000"/>
          <w:sz w:val="24"/>
          <w:szCs w:val="24"/>
        </w:rPr>
        <w:t xml:space="preserve"> manufacturing sector is often taken as an indicator of a developed country.</w:t>
      </w:r>
    </w:p>
    <w:p w:rsidR="00857AFA" w:rsidRPr="00DE7930" w:rsidRDefault="00857AFA" w:rsidP="00DE7930">
      <w:pPr>
        <w:spacing w:after="0" w:line="480" w:lineRule="auto"/>
        <w:ind w:firstLine="540"/>
        <w:jc w:val="both"/>
        <w:rPr>
          <w:rFonts w:ascii="Times New Roman" w:hAnsi="Times New Roman" w:cs="Times New Roman"/>
          <w:color w:val="000000"/>
          <w:sz w:val="24"/>
          <w:szCs w:val="24"/>
        </w:rPr>
      </w:pPr>
    </w:p>
    <w:p w:rsidR="00A14465" w:rsidRPr="00DE7930" w:rsidRDefault="00890C2F" w:rsidP="00DC7714">
      <w:pPr>
        <w:spacing w:after="0" w:line="480" w:lineRule="auto"/>
        <w:ind w:firstLine="180"/>
        <w:jc w:val="both"/>
        <w:rPr>
          <w:rFonts w:ascii="Times New Roman" w:hAnsi="Times New Roman" w:cs="Times New Roman"/>
          <w:i/>
          <w:color w:val="000000"/>
          <w:sz w:val="24"/>
          <w:szCs w:val="24"/>
        </w:rPr>
      </w:pPr>
      <w:r w:rsidRPr="00DE7930">
        <w:rPr>
          <w:rFonts w:ascii="Times New Roman" w:hAnsi="Times New Roman" w:cs="Times New Roman"/>
          <w:noProof/>
          <w:sz w:val="24"/>
          <w:szCs w:val="24"/>
        </w:rPr>
        <w:drawing>
          <wp:inline distT="0" distB="0" distL="0" distR="0" wp14:anchorId="16B0BDB1" wp14:editId="1569F716">
            <wp:extent cx="4805916" cy="2743200"/>
            <wp:effectExtent l="0" t="0" r="1397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4465" w:rsidRPr="00DE7930" w:rsidRDefault="00DE6A24" w:rsidP="008F314A">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 6</w:t>
      </w:r>
    </w:p>
    <w:p w:rsidR="002D5C2F" w:rsidRPr="00DE7930" w:rsidRDefault="00A14465" w:rsidP="008F314A">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 World Bank Database</w:t>
      </w:r>
      <w:r w:rsidR="001C4E0E">
        <w:rPr>
          <w:rFonts w:ascii="Times New Roman" w:hAnsi="Times New Roman" w:cs="Times New Roman"/>
          <w:i/>
          <w:color w:val="000000"/>
          <w:sz w:val="24"/>
          <w:szCs w:val="24"/>
        </w:rPr>
        <w:t>, Authors calculations</w:t>
      </w:r>
    </w:p>
    <w:p w:rsidR="00FC3491" w:rsidRPr="00DE7930" w:rsidRDefault="00FC3491" w:rsidP="00DE7930">
      <w:pPr>
        <w:spacing w:after="0" w:line="480" w:lineRule="auto"/>
        <w:ind w:firstLine="540"/>
        <w:jc w:val="both"/>
        <w:rPr>
          <w:rFonts w:ascii="Times New Roman" w:hAnsi="Times New Roman" w:cs="Times New Roman"/>
          <w:i/>
          <w:color w:val="000000"/>
          <w:sz w:val="24"/>
          <w:szCs w:val="24"/>
        </w:rPr>
      </w:pPr>
    </w:p>
    <w:p w:rsidR="004C1313" w:rsidRDefault="008F314A" w:rsidP="000146C1">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Figure 6</w:t>
      </w:r>
      <w:r w:rsidR="00FC3491" w:rsidRPr="00DE7930">
        <w:rPr>
          <w:rFonts w:ascii="Times New Roman" w:hAnsi="Times New Roman" w:cs="Times New Roman"/>
          <w:color w:val="000000"/>
          <w:sz w:val="24"/>
          <w:szCs w:val="24"/>
        </w:rPr>
        <w:t xml:space="preserve"> shows a steady decline of the manufacturing sector as a value added percentage of GDP from the years 1990 to 2013</w:t>
      </w:r>
      <w:r w:rsidR="004C1313">
        <w:rPr>
          <w:rFonts w:ascii="Times New Roman" w:hAnsi="Times New Roman" w:cs="Times New Roman"/>
          <w:color w:val="000000"/>
          <w:sz w:val="24"/>
          <w:szCs w:val="24"/>
        </w:rPr>
        <w:t>. A</w:t>
      </w:r>
      <w:r w:rsidR="004059C5">
        <w:rPr>
          <w:rFonts w:ascii="Times New Roman" w:hAnsi="Times New Roman" w:cs="Times New Roman"/>
          <w:color w:val="000000"/>
          <w:sz w:val="24"/>
          <w:szCs w:val="24"/>
        </w:rPr>
        <w:t>ccording to the theory</w:t>
      </w:r>
      <w:r w:rsidR="004C1313">
        <w:rPr>
          <w:rFonts w:ascii="Times New Roman" w:hAnsi="Times New Roman" w:cs="Times New Roman"/>
          <w:color w:val="000000"/>
          <w:sz w:val="24"/>
          <w:szCs w:val="24"/>
        </w:rPr>
        <w:t>,</w:t>
      </w:r>
      <w:r w:rsidR="004059C5">
        <w:rPr>
          <w:rFonts w:ascii="Times New Roman" w:hAnsi="Times New Roman" w:cs="Times New Roman"/>
          <w:color w:val="000000"/>
          <w:sz w:val="24"/>
          <w:szCs w:val="24"/>
        </w:rPr>
        <w:t xml:space="preserve"> this is</w:t>
      </w:r>
      <w:r w:rsidR="007F2B3D">
        <w:rPr>
          <w:rFonts w:ascii="Times New Roman" w:hAnsi="Times New Roman" w:cs="Times New Roman"/>
          <w:color w:val="000000"/>
          <w:sz w:val="24"/>
          <w:szCs w:val="24"/>
        </w:rPr>
        <w:t xml:space="preserve"> a</w:t>
      </w:r>
      <w:r w:rsidR="004059C5">
        <w:rPr>
          <w:rFonts w:ascii="Times New Roman" w:hAnsi="Times New Roman" w:cs="Times New Roman"/>
          <w:color w:val="000000"/>
          <w:sz w:val="24"/>
          <w:szCs w:val="24"/>
        </w:rPr>
        <w:t xml:space="preserve"> clear sign of a resource driven economy</w:t>
      </w:r>
      <w:r w:rsidR="004C1313">
        <w:rPr>
          <w:rFonts w:ascii="Times New Roman" w:hAnsi="Times New Roman" w:cs="Times New Roman"/>
          <w:color w:val="000000"/>
          <w:sz w:val="24"/>
          <w:szCs w:val="24"/>
        </w:rPr>
        <w:t>. Several sectors in the industry seem to have the same issues for degradation, since the demand for imported goods exceeding t</w:t>
      </w:r>
      <w:r w:rsidR="007F2B3D">
        <w:rPr>
          <w:rFonts w:ascii="Times New Roman" w:hAnsi="Times New Roman" w:cs="Times New Roman"/>
          <w:color w:val="000000"/>
          <w:sz w:val="24"/>
          <w:szCs w:val="24"/>
        </w:rPr>
        <w:t>he demand for domestic</w:t>
      </w:r>
      <w:r w:rsidR="004C1313">
        <w:rPr>
          <w:rFonts w:ascii="Times New Roman" w:hAnsi="Times New Roman" w:cs="Times New Roman"/>
          <w:color w:val="000000"/>
          <w:sz w:val="24"/>
          <w:szCs w:val="24"/>
        </w:rPr>
        <w:t xml:space="preserve"> goods due to worsened quality of the products. </w:t>
      </w:r>
    </w:p>
    <w:p w:rsidR="00450298" w:rsidRDefault="00450298" w:rsidP="000146C1">
      <w:pPr>
        <w:spacing w:after="0" w:line="480" w:lineRule="auto"/>
        <w:ind w:firstLine="540"/>
        <w:jc w:val="both"/>
        <w:rPr>
          <w:rFonts w:ascii="Times New Roman" w:hAnsi="Times New Roman" w:cs="Times New Roman"/>
          <w:color w:val="000000"/>
          <w:sz w:val="24"/>
          <w:szCs w:val="24"/>
        </w:rPr>
      </w:pPr>
    </w:p>
    <w:p w:rsidR="00450298" w:rsidRPr="00EC334C" w:rsidRDefault="00450298" w:rsidP="000146C1">
      <w:pPr>
        <w:spacing w:after="0" w:line="480" w:lineRule="auto"/>
        <w:ind w:firstLine="540"/>
        <w:jc w:val="both"/>
        <w:rPr>
          <w:rFonts w:ascii="Times New Roman" w:hAnsi="Times New Roman" w:cs="Times New Roman"/>
          <w:color w:val="000000"/>
          <w:sz w:val="24"/>
          <w:szCs w:val="24"/>
        </w:rPr>
      </w:pPr>
    </w:p>
    <w:p w:rsidR="00C523E8" w:rsidRPr="00DE7930" w:rsidRDefault="00682323" w:rsidP="004059C5">
      <w:pPr>
        <w:pStyle w:val="Default"/>
        <w:spacing w:line="480" w:lineRule="auto"/>
        <w:ind w:firstLine="540"/>
        <w:jc w:val="both"/>
        <w:rPr>
          <w:color w:val="FF0000"/>
        </w:rPr>
      </w:pPr>
      <w:r w:rsidRPr="00DE7930">
        <w:rPr>
          <w:b/>
          <w:color w:val="auto"/>
        </w:rPr>
        <w:lastRenderedPageBreak/>
        <w:t>L</w:t>
      </w:r>
      <w:r w:rsidR="00404C93" w:rsidRPr="00DE7930">
        <w:rPr>
          <w:b/>
          <w:color w:val="auto"/>
        </w:rPr>
        <w:t>ight manufacturing</w:t>
      </w:r>
      <w:r w:rsidR="006C1657" w:rsidRPr="00DE7930">
        <w:rPr>
          <w:b/>
          <w:color w:val="auto"/>
        </w:rPr>
        <w:t xml:space="preserve"> </w:t>
      </w:r>
      <w:r w:rsidR="006C1657" w:rsidRPr="00DE7930">
        <w:rPr>
          <w:color w:val="auto"/>
        </w:rPr>
        <w:t>would</w:t>
      </w:r>
      <w:r w:rsidR="000146C1">
        <w:rPr>
          <w:color w:val="auto"/>
        </w:rPr>
        <w:t xml:space="preserve"> be a contribution</w:t>
      </w:r>
      <w:r w:rsidR="006C1657" w:rsidRPr="00DE7930">
        <w:rPr>
          <w:color w:val="auto"/>
        </w:rPr>
        <w:t xml:space="preserve"> to the economy</w:t>
      </w:r>
      <w:r w:rsidR="00093D9B">
        <w:rPr>
          <w:color w:val="auto"/>
        </w:rPr>
        <w:t>,</w:t>
      </w:r>
      <w:r w:rsidR="00404C93" w:rsidRPr="00DE7930">
        <w:rPr>
          <w:color w:val="auto"/>
        </w:rPr>
        <w:t xml:space="preserve"> being mostly a</w:t>
      </w:r>
      <w:r w:rsidR="006C1657" w:rsidRPr="00DE7930">
        <w:rPr>
          <w:color w:val="auto"/>
        </w:rPr>
        <w:t xml:space="preserve"> labor-intensive sector</w:t>
      </w:r>
      <w:r w:rsidR="00093D9B">
        <w:rPr>
          <w:color w:val="auto"/>
        </w:rPr>
        <w:t>. If developed it</w:t>
      </w:r>
      <w:r w:rsidR="000146C1">
        <w:rPr>
          <w:color w:val="auto"/>
        </w:rPr>
        <w:t xml:space="preserve"> could be a source of diversification for</w:t>
      </w:r>
      <w:r w:rsidR="006C1657" w:rsidRPr="00DE7930">
        <w:rPr>
          <w:color w:val="auto"/>
        </w:rPr>
        <w:t xml:space="preserve"> export</w:t>
      </w:r>
      <w:r w:rsidR="000146C1">
        <w:rPr>
          <w:color w:val="auto"/>
        </w:rPr>
        <w:t>s</w:t>
      </w:r>
      <w:r w:rsidR="006C1657" w:rsidRPr="00DE7930">
        <w:rPr>
          <w:color w:val="auto"/>
        </w:rPr>
        <w:t>. A number of large firms provide sewing outsourcing for fore</w:t>
      </w:r>
      <w:r w:rsidR="000146C1">
        <w:rPr>
          <w:color w:val="auto"/>
        </w:rPr>
        <w:t>ign companies</w:t>
      </w:r>
      <w:r w:rsidR="006C1657" w:rsidRPr="00DE7930">
        <w:rPr>
          <w:color w:val="auto"/>
        </w:rPr>
        <w:t>.</w:t>
      </w:r>
      <w:r w:rsidR="007B6FF9" w:rsidRPr="00DE7930">
        <w:rPr>
          <w:color w:val="FF0000"/>
        </w:rPr>
        <w:t xml:space="preserve"> </w:t>
      </w:r>
      <w:r w:rsidR="007B6FF9" w:rsidRPr="00DE7930">
        <w:rPr>
          <w:color w:val="auto"/>
        </w:rPr>
        <w:t>The main challenges of the sector are</w:t>
      </w:r>
      <w:r w:rsidR="00404C93" w:rsidRPr="00DE7930">
        <w:rPr>
          <w:color w:val="auto"/>
        </w:rPr>
        <w:t xml:space="preserve"> gaps in customs</w:t>
      </w:r>
      <w:r w:rsidR="007B6FF9" w:rsidRPr="00DE7930">
        <w:rPr>
          <w:color w:val="auto"/>
        </w:rPr>
        <w:t xml:space="preserve"> and tax administration, insufficient</w:t>
      </w:r>
      <w:r w:rsidR="00404C93" w:rsidRPr="00DE7930">
        <w:rPr>
          <w:color w:val="auto"/>
        </w:rPr>
        <w:t xml:space="preserve"> knowledge about for</w:t>
      </w:r>
      <w:r w:rsidR="00005B0E" w:rsidRPr="00DE7930">
        <w:rPr>
          <w:color w:val="auto"/>
        </w:rPr>
        <w:t>eign markets and lack of education</w:t>
      </w:r>
      <w:r w:rsidR="00404C93" w:rsidRPr="00DE7930">
        <w:rPr>
          <w:color w:val="auto"/>
        </w:rPr>
        <w:t xml:space="preserve">. Average annual exports </w:t>
      </w:r>
      <w:r w:rsidR="007E0156" w:rsidRPr="00DE7930">
        <w:rPr>
          <w:color w:val="auto"/>
        </w:rPr>
        <w:t xml:space="preserve">rate though 2003-2010 </w:t>
      </w:r>
      <w:r w:rsidR="00404C93" w:rsidRPr="00DE7930">
        <w:rPr>
          <w:color w:val="auto"/>
        </w:rPr>
        <w:t>is -16%</w:t>
      </w:r>
      <w:r w:rsidR="007E0156" w:rsidRPr="00DE7930">
        <w:rPr>
          <w:color w:val="auto"/>
        </w:rPr>
        <w:t>.</w:t>
      </w:r>
      <w:r w:rsidR="00404C93" w:rsidRPr="00DE7930">
        <w:rPr>
          <w:color w:val="auto"/>
        </w:rPr>
        <w:t xml:space="preserve"> </w:t>
      </w:r>
    </w:p>
    <w:p w:rsidR="002D043F" w:rsidRPr="00DE7930" w:rsidRDefault="002D043F" w:rsidP="00DE7930">
      <w:pPr>
        <w:pStyle w:val="Default"/>
        <w:spacing w:line="480" w:lineRule="auto"/>
        <w:ind w:firstLine="540"/>
        <w:jc w:val="both"/>
        <w:rPr>
          <w:color w:val="FF0000"/>
        </w:rPr>
      </w:pPr>
      <w:r w:rsidRPr="00DE7930">
        <w:rPr>
          <w:b/>
          <w:color w:val="auto"/>
        </w:rPr>
        <w:t>Textile</w:t>
      </w:r>
      <w:r w:rsidRPr="00C37FAC">
        <w:rPr>
          <w:b/>
          <w:color w:val="FF0000"/>
        </w:rPr>
        <w:t xml:space="preserve"> </w:t>
      </w:r>
      <w:r w:rsidRPr="00C37FAC">
        <w:rPr>
          <w:b/>
          <w:color w:val="auto"/>
        </w:rPr>
        <w:t>sector</w:t>
      </w:r>
      <w:r w:rsidRPr="00DE7930">
        <w:rPr>
          <w:color w:val="auto"/>
        </w:rPr>
        <w:t xml:space="preserve"> was flourishing during the Soviet era, making Armenia one of the biggest suppliers of textile and knitwear products for</w:t>
      </w:r>
      <w:r w:rsidR="00D3009F">
        <w:rPr>
          <w:color w:val="auto"/>
        </w:rPr>
        <w:t xml:space="preserve"> the</w:t>
      </w:r>
      <w:r w:rsidR="007209F6">
        <w:rPr>
          <w:color w:val="auto"/>
        </w:rPr>
        <w:t xml:space="preserve"> U</w:t>
      </w:r>
      <w:r w:rsidRPr="00DE7930">
        <w:rPr>
          <w:color w:val="auto"/>
        </w:rPr>
        <w:t>SSR</w:t>
      </w:r>
      <w:r w:rsidR="00450298">
        <w:rPr>
          <w:color w:val="auto"/>
        </w:rPr>
        <w:t xml:space="preserve">. </w:t>
      </w:r>
      <w:r w:rsidRPr="00DE7930">
        <w:rPr>
          <w:color w:val="auto"/>
        </w:rPr>
        <w:t>The sector col</w:t>
      </w:r>
      <w:r w:rsidR="007209F6">
        <w:rPr>
          <w:color w:val="auto"/>
        </w:rPr>
        <w:t>lapsed alongside U</w:t>
      </w:r>
      <w:r w:rsidRPr="00DE7930">
        <w:rPr>
          <w:color w:val="auto"/>
        </w:rPr>
        <w:t>SSR with a 70% a decline. Since, growth in the sector was due to foreign orders and demand in knitwear in domestic market.</w:t>
      </w:r>
      <w:r w:rsidRPr="00DE7930">
        <w:rPr>
          <w:color w:val="FF0000"/>
        </w:rPr>
        <w:t xml:space="preserve"> </w:t>
      </w:r>
      <w:r w:rsidRPr="00DE7930">
        <w:rPr>
          <w:color w:val="auto"/>
        </w:rPr>
        <w:t>85% of exports of the</w:t>
      </w:r>
      <w:r w:rsidR="00D3009F">
        <w:rPr>
          <w:color w:val="auto"/>
        </w:rPr>
        <w:t xml:space="preserve"> textile and knitwear sector have</w:t>
      </w:r>
      <w:r w:rsidRPr="00DE7930">
        <w:rPr>
          <w:color w:val="auto"/>
        </w:rPr>
        <w:t xml:space="preserve"> been accounted by outsourcing from 2003 to 2013.</w:t>
      </w:r>
      <w:r w:rsidR="00450298">
        <w:rPr>
          <w:color w:val="auto"/>
        </w:rPr>
        <w:t xml:space="preserve"> This is yet another labour intensive sector that used to contribute to 25 to 30% of the employment in the country.</w:t>
      </w:r>
      <w:r w:rsidRPr="00DE7930">
        <w:rPr>
          <w:color w:val="auto"/>
        </w:rPr>
        <w:t xml:space="preserve"> </w:t>
      </w:r>
    </w:p>
    <w:p w:rsidR="00404C93" w:rsidRPr="00DE7930" w:rsidRDefault="00C523E8" w:rsidP="00DE7930">
      <w:pPr>
        <w:spacing w:after="0" w:line="480" w:lineRule="auto"/>
        <w:ind w:firstLine="540"/>
        <w:jc w:val="both"/>
        <w:rPr>
          <w:rFonts w:ascii="Times New Roman" w:hAnsi="Times New Roman" w:cs="Times New Roman"/>
          <w:color w:val="FF0000"/>
          <w:sz w:val="24"/>
          <w:szCs w:val="24"/>
        </w:rPr>
      </w:pPr>
      <w:r w:rsidRPr="00DE7930">
        <w:rPr>
          <w:rFonts w:ascii="Times New Roman" w:hAnsi="Times New Roman" w:cs="Times New Roman"/>
          <w:b/>
          <w:bCs/>
          <w:sz w:val="24"/>
          <w:szCs w:val="24"/>
        </w:rPr>
        <w:t xml:space="preserve"> </w:t>
      </w:r>
      <w:r w:rsidR="00682323" w:rsidRPr="00DE7930">
        <w:rPr>
          <w:rFonts w:ascii="Times New Roman" w:hAnsi="Times New Roman" w:cs="Times New Roman"/>
          <w:b/>
          <w:bCs/>
          <w:sz w:val="24"/>
          <w:szCs w:val="24"/>
        </w:rPr>
        <w:t xml:space="preserve">Machine-building, instrument-making and electrical and technical production </w:t>
      </w:r>
      <w:r w:rsidR="00A85B27" w:rsidRPr="00DE7930">
        <w:rPr>
          <w:rFonts w:ascii="Times New Roman" w:hAnsi="Times New Roman" w:cs="Times New Roman"/>
          <w:bCs/>
          <w:sz w:val="24"/>
          <w:szCs w:val="24"/>
        </w:rPr>
        <w:t>declines as the world continues to modernize.</w:t>
      </w:r>
      <w:r w:rsidR="001D2ADA" w:rsidRPr="00DE7930">
        <w:rPr>
          <w:rFonts w:ascii="Times New Roman" w:hAnsi="Times New Roman" w:cs="Times New Roman"/>
          <w:bCs/>
          <w:sz w:val="24"/>
          <w:szCs w:val="24"/>
        </w:rPr>
        <w:t xml:space="preserve"> Unable to keep up</w:t>
      </w:r>
      <w:r w:rsidR="00D3009F">
        <w:rPr>
          <w:rFonts w:ascii="Times New Roman" w:hAnsi="Times New Roman" w:cs="Times New Roman"/>
          <w:bCs/>
          <w:sz w:val="24"/>
          <w:szCs w:val="24"/>
        </w:rPr>
        <w:t>,</w:t>
      </w:r>
      <w:r w:rsidR="001D2ADA" w:rsidRPr="00DE7930">
        <w:rPr>
          <w:rFonts w:ascii="Times New Roman" w:hAnsi="Times New Roman" w:cs="Times New Roman"/>
          <w:bCs/>
          <w:sz w:val="24"/>
          <w:szCs w:val="24"/>
        </w:rPr>
        <w:t xml:space="preserve"> the sector has immense challenges</w:t>
      </w:r>
      <w:r w:rsidR="001D2ADA" w:rsidRPr="00DE7930">
        <w:rPr>
          <w:rFonts w:ascii="Times New Roman" w:hAnsi="Times New Roman" w:cs="Times New Roman"/>
          <w:b/>
          <w:bCs/>
          <w:sz w:val="24"/>
          <w:szCs w:val="24"/>
        </w:rPr>
        <w:t>:</w:t>
      </w:r>
      <w:r w:rsidR="00A85B27" w:rsidRPr="00DE7930">
        <w:rPr>
          <w:rFonts w:ascii="Times New Roman" w:hAnsi="Times New Roman" w:cs="Times New Roman"/>
          <w:color w:val="FF0000"/>
          <w:sz w:val="24"/>
          <w:szCs w:val="24"/>
        </w:rPr>
        <w:t xml:space="preserve"> </w:t>
      </w:r>
      <w:r w:rsidR="00A85B27" w:rsidRPr="00DE7930">
        <w:rPr>
          <w:rFonts w:ascii="Times New Roman" w:hAnsi="Times New Roman" w:cs="Times New Roman"/>
          <w:sz w:val="24"/>
          <w:szCs w:val="24"/>
        </w:rPr>
        <w:t>weakened</w:t>
      </w:r>
      <w:r w:rsidR="00404C93" w:rsidRPr="00DE7930">
        <w:rPr>
          <w:rFonts w:ascii="Times New Roman" w:hAnsi="Times New Roman" w:cs="Times New Roman"/>
          <w:sz w:val="24"/>
          <w:szCs w:val="24"/>
        </w:rPr>
        <w:t xml:space="preserve"> infrastructure of engine</w:t>
      </w:r>
      <w:r w:rsidR="00A85B27" w:rsidRPr="00DE7930">
        <w:rPr>
          <w:rFonts w:ascii="Times New Roman" w:hAnsi="Times New Roman" w:cs="Times New Roman"/>
          <w:sz w:val="24"/>
          <w:szCs w:val="24"/>
        </w:rPr>
        <w:t>ering education, unavailable</w:t>
      </w:r>
      <w:r w:rsidR="001D2ADA" w:rsidRPr="00DE7930">
        <w:rPr>
          <w:rFonts w:ascii="Times New Roman" w:hAnsi="Times New Roman" w:cs="Times New Roman"/>
          <w:sz w:val="24"/>
          <w:szCs w:val="24"/>
        </w:rPr>
        <w:t xml:space="preserve"> new technologies,</w:t>
      </w:r>
      <w:r w:rsidR="00404C93" w:rsidRPr="00DE7930">
        <w:rPr>
          <w:rFonts w:ascii="Times New Roman" w:hAnsi="Times New Roman" w:cs="Times New Roman"/>
          <w:sz w:val="24"/>
          <w:szCs w:val="24"/>
        </w:rPr>
        <w:t xml:space="preserve"> </w:t>
      </w:r>
      <w:r w:rsidR="001D2ADA" w:rsidRPr="00DE7930">
        <w:rPr>
          <w:rFonts w:ascii="Times New Roman" w:hAnsi="Times New Roman" w:cs="Times New Roman"/>
          <w:sz w:val="24"/>
          <w:szCs w:val="24"/>
        </w:rPr>
        <w:t>inadequate</w:t>
      </w:r>
      <w:r w:rsidR="00404C93" w:rsidRPr="00DE7930">
        <w:rPr>
          <w:rFonts w:ascii="Times New Roman" w:hAnsi="Times New Roman" w:cs="Times New Roman"/>
          <w:sz w:val="24"/>
          <w:szCs w:val="24"/>
        </w:rPr>
        <w:t xml:space="preserve"> knowledge of global markets</w:t>
      </w:r>
      <w:r w:rsidR="001D2ADA" w:rsidRPr="00DE7930">
        <w:rPr>
          <w:rFonts w:ascii="Times New Roman" w:hAnsi="Times New Roman" w:cs="Times New Roman"/>
          <w:sz w:val="24"/>
          <w:szCs w:val="24"/>
        </w:rPr>
        <w:t>, on average older researchers and technical staff</w:t>
      </w:r>
      <w:r w:rsidR="00404C93" w:rsidRPr="00DE7930">
        <w:rPr>
          <w:rFonts w:ascii="Times New Roman" w:hAnsi="Times New Roman" w:cs="Times New Roman"/>
          <w:sz w:val="24"/>
          <w:szCs w:val="24"/>
        </w:rPr>
        <w:t xml:space="preserve"> and certification </w:t>
      </w:r>
      <w:r w:rsidR="001D2ADA" w:rsidRPr="00DE7930">
        <w:rPr>
          <w:rFonts w:ascii="Times New Roman" w:hAnsi="Times New Roman" w:cs="Times New Roman"/>
          <w:sz w:val="24"/>
          <w:szCs w:val="24"/>
        </w:rPr>
        <w:t>disputes</w:t>
      </w:r>
      <w:r w:rsidR="00404C93" w:rsidRPr="00DE7930">
        <w:rPr>
          <w:rFonts w:ascii="Times New Roman" w:hAnsi="Times New Roman" w:cs="Times New Roman"/>
          <w:sz w:val="24"/>
          <w:szCs w:val="24"/>
        </w:rPr>
        <w:t>. Average an</w:t>
      </w:r>
      <w:r w:rsidR="007E0156" w:rsidRPr="00DE7930">
        <w:rPr>
          <w:rFonts w:ascii="Times New Roman" w:hAnsi="Times New Roman" w:cs="Times New Roman"/>
          <w:sz w:val="24"/>
          <w:szCs w:val="24"/>
        </w:rPr>
        <w:t>nual exports rate though 2003-2010</w:t>
      </w:r>
      <w:r w:rsidR="00404C93" w:rsidRPr="00DE7930">
        <w:rPr>
          <w:rFonts w:ascii="Times New Roman" w:hAnsi="Times New Roman" w:cs="Times New Roman"/>
          <w:sz w:val="24"/>
          <w:szCs w:val="24"/>
        </w:rPr>
        <w:t xml:space="preserve"> is -4%</w:t>
      </w:r>
      <w:r w:rsidRPr="00DE7930">
        <w:rPr>
          <w:rFonts w:ascii="Times New Roman" w:hAnsi="Times New Roman" w:cs="Times New Roman"/>
          <w:sz w:val="24"/>
          <w:szCs w:val="24"/>
        </w:rPr>
        <w:t>.</w:t>
      </w:r>
    </w:p>
    <w:p w:rsidR="00404C93" w:rsidRPr="00DE7930" w:rsidRDefault="00404C93" w:rsidP="00DE7930">
      <w:pPr>
        <w:spacing w:after="0" w:line="480" w:lineRule="auto"/>
        <w:ind w:firstLine="540"/>
        <w:jc w:val="both"/>
        <w:rPr>
          <w:rFonts w:ascii="Times New Roman" w:hAnsi="Times New Roman" w:cs="Times New Roman"/>
          <w:color w:val="FF0000"/>
          <w:sz w:val="24"/>
          <w:szCs w:val="24"/>
        </w:rPr>
      </w:pPr>
      <w:r w:rsidRPr="00DE7930">
        <w:rPr>
          <w:rFonts w:ascii="Times New Roman" w:hAnsi="Times New Roman" w:cs="Times New Roman"/>
          <w:b/>
          <w:sz w:val="24"/>
          <w:szCs w:val="24"/>
        </w:rPr>
        <w:t>Gems and jewelry</w:t>
      </w:r>
      <w:r w:rsidRPr="00DE7930">
        <w:rPr>
          <w:rFonts w:ascii="Times New Roman" w:hAnsi="Times New Roman" w:cs="Times New Roman"/>
          <w:sz w:val="24"/>
          <w:szCs w:val="24"/>
        </w:rPr>
        <w:t xml:space="preserve"> </w:t>
      </w:r>
      <w:r w:rsidR="00A85B27" w:rsidRPr="00DE7930">
        <w:rPr>
          <w:rFonts w:ascii="Times New Roman" w:hAnsi="Times New Roman" w:cs="Times New Roman"/>
          <w:sz w:val="24"/>
          <w:szCs w:val="24"/>
        </w:rPr>
        <w:t>were traditionally a significant sector for exports in Armenia,</w:t>
      </w:r>
      <w:r w:rsidRPr="00DE7930">
        <w:rPr>
          <w:rFonts w:ascii="Times New Roman" w:hAnsi="Times New Roman" w:cs="Times New Roman"/>
          <w:color w:val="FF0000"/>
          <w:sz w:val="24"/>
          <w:szCs w:val="24"/>
        </w:rPr>
        <w:t xml:space="preserve"> </w:t>
      </w:r>
      <w:r w:rsidR="00A85B27" w:rsidRPr="00DE7930">
        <w:rPr>
          <w:rFonts w:ascii="Times New Roman" w:hAnsi="Times New Roman" w:cs="Times New Roman"/>
          <w:sz w:val="24"/>
          <w:szCs w:val="24"/>
        </w:rPr>
        <w:t>yet</w:t>
      </w:r>
      <w:r w:rsidRPr="00DE7930">
        <w:rPr>
          <w:rFonts w:ascii="Times New Roman" w:hAnsi="Times New Roman" w:cs="Times New Roman"/>
          <w:sz w:val="24"/>
          <w:szCs w:val="24"/>
        </w:rPr>
        <w:t xml:space="preserve"> the sector </w:t>
      </w:r>
      <w:r w:rsidR="00A85B27" w:rsidRPr="00DE7930">
        <w:rPr>
          <w:rFonts w:ascii="Times New Roman" w:hAnsi="Times New Roman" w:cs="Times New Roman"/>
          <w:sz w:val="24"/>
          <w:szCs w:val="24"/>
        </w:rPr>
        <w:t xml:space="preserve">has </w:t>
      </w:r>
      <w:r w:rsidRPr="00DE7930">
        <w:rPr>
          <w:rFonts w:ascii="Times New Roman" w:hAnsi="Times New Roman" w:cs="Times New Roman"/>
          <w:sz w:val="24"/>
          <w:szCs w:val="24"/>
        </w:rPr>
        <w:t>decline</w:t>
      </w:r>
      <w:r w:rsidR="00A85B27" w:rsidRPr="00DE7930">
        <w:rPr>
          <w:rFonts w:ascii="Times New Roman" w:hAnsi="Times New Roman" w:cs="Times New Roman"/>
          <w:sz w:val="24"/>
          <w:szCs w:val="24"/>
        </w:rPr>
        <w:t>d</w:t>
      </w:r>
      <w:r w:rsidRPr="00DE7930">
        <w:rPr>
          <w:rFonts w:ascii="Times New Roman" w:hAnsi="Times New Roman" w:cs="Times New Roman"/>
          <w:sz w:val="24"/>
          <w:szCs w:val="24"/>
        </w:rPr>
        <w:t xml:space="preserve"> in recent years</w:t>
      </w:r>
      <w:r w:rsidR="007E0156" w:rsidRPr="00DE7930">
        <w:rPr>
          <w:rFonts w:ascii="Times New Roman" w:hAnsi="Times New Roman" w:cs="Times New Roman"/>
          <w:sz w:val="24"/>
          <w:szCs w:val="24"/>
        </w:rPr>
        <w:t>.</w:t>
      </w:r>
      <w:r w:rsidRPr="00DE7930">
        <w:rPr>
          <w:rFonts w:ascii="Times New Roman" w:hAnsi="Times New Roman" w:cs="Times New Roman"/>
          <w:sz w:val="24"/>
          <w:szCs w:val="24"/>
        </w:rPr>
        <w:t xml:space="preserve"> </w:t>
      </w:r>
      <w:r w:rsidR="00A85B27" w:rsidRPr="00DE7930">
        <w:rPr>
          <w:rFonts w:ascii="Times New Roman" w:hAnsi="Times New Roman" w:cs="Times New Roman"/>
          <w:sz w:val="24"/>
          <w:szCs w:val="24"/>
        </w:rPr>
        <w:t>The decline in diamond cutting is due to issues</w:t>
      </w:r>
      <w:r w:rsidRPr="00DE7930">
        <w:rPr>
          <w:rFonts w:ascii="Times New Roman" w:hAnsi="Times New Roman" w:cs="Times New Roman"/>
          <w:sz w:val="24"/>
          <w:szCs w:val="24"/>
        </w:rPr>
        <w:t xml:space="preserve"> with the raw materials supply from Russia. Average annual export </w:t>
      </w:r>
      <w:r w:rsidR="007E0156" w:rsidRPr="00DE7930">
        <w:rPr>
          <w:rFonts w:ascii="Times New Roman" w:hAnsi="Times New Roman" w:cs="Times New Roman"/>
          <w:sz w:val="24"/>
          <w:szCs w:val="24"/>
        </w:rPr>
        <w:t xml:space="preserve">rate though 2003-2010 </w:t>
      </w:r>
      <w:r w:rsidRPr="00DE7930">
        <w:rPr>
          <w:rFonts w:ascii="Times New Roman" w:hAnsi="Times New Roman" w:cs="Times New Roman"/>
          <w:sz w:val="24"/>
          <w:szCs w:val="24"/>
        </w:rPr>
        <w:t>is -15%</w:t>
      </w:r>
      <w:r w:rsidR="007E0156" w:rsidRPr="00DE7930">
        <w:rPr>
          <w:rFonts w:ascii="Times New Roman" w:hAnsi="Times New Roman" w:cs="Times New Roman"/>
          <w:sz w:val="24"/>
          <w:szCs w:val="24"/>
        </w:rPr>
        <w:t>.</w:t>
      </w:r>
    </w:p>
    <w:p w:rsidR="00404C93" w:rsidRPr="00DE7930" w:rsidRDefault="00682323" w:rsidP="00DE7930">
      <w:pPr>
        <w:autoSpaceDE w:val="0"/>
        <w:autoSpaceDN w:val="0"/>
        <w:adjustRightInd w:val="0"/>
        <w:spacing w:after="0" w:line="480" w:lineRule="auto"/>
        <w:ind w:firstLine="540"/>
        <w:jc w:val="both"/>
        <w:rPr>
          <w:rFonts w:ascii="Times New Roman" w:hAnsi="Times New Roman" w:cs="Times New Roman"/>
          <w:color w:val="FF0000"/>
          <w:sz w:val="24"/>
          <w:szCs w:val="24"/>
        </w:rPr>
      </w:pPr>
      <w:r w:rsidRPr="00DE7930">
        <w:rPr>
          <w:rFonts w:ascii="Times New Roman" w:hAnsi="Times New Roman" w:cs="Times New Roman"/>
          <w:sz w:val="24"/>
          <w:szCs w:val="24"/>
        </w:rPr>
        <w:t>F</w:t>
      </w:r>
      <w:r w:rsidR="00404C93" w:rsidRPr="00DE7930">
        <w:rPr>
          <w:rFonts w:ascii="Times New Roman" w:hAnsi="Times New Roman" w:cs="Times New Roman"/>
          <w:b/>
          <w:sz w:val="24"/>
          <w:szCs w:val="24"/>
        </w:rPr>
        <w:t>ood processing</w:t>
      </w:r>
      <w:r w:rsidR="00404C93" w:rsidRPr="00DE7930">
        <w:rPr>
          <w:rFonts w:ascii="Times New Roman" w:hAnsi="Times New Roman" w:cs="Times New Roman"/>
          <w:sz w:val="24"/>
          <w:szCs w:val="24"/>
        </w:rPr>
        <w:t xml:space="preserve"> industry </w:t>
      </w:r>
      <w:r w:rsidR="00E10C87" w:rsidRPr="00DE7930">
        <w:rPr>
          <w:rFonts w:ascii="Times New Roman" w:hAnsi="Times New Roman" w:cs="Times New Roman"/>
          <w:sz w:val="24"/>
          <w:szCs w:val="24"/>
        </w:rPr>
        <w:t>composes</w:t>
      </w:r>
      <w:r w:rsidR="00404C93" w:rsidRPr="00DE7930">
        <w:rPr>
          <w:rFonts w:ascii="Times New Roman" w:hAnsi="Times New Roman" w:cs="Times New Roman"/>
          <w:sz w:val="24"/>
          <w:szCs w:val="24"/>
        </w:rPr>
        <w:t xml:space="preserve"> over 40% of the manufacturing s</w:t>
      </w:r>
      <w:r w:rsidR="00E10C87" w:rsidRPr="00DE7930">
        <w:rPr>
          <w:rFonts w:ascii="Times New Roman" w:hAnsi="Times New Roman" w:cs="Times New Roman"/>
          <w:sz w:val="24"/>
          <w:szCs w:val="24"/>
        </w:rPr>
        <w:t>ector</w:t>
      </w:r>
      <w:r w:rsidR="00A01FF5" w:rsidRPr="00DE7930">
        <w:rPr>
          <w:rFonts w:ascii="Times New Roman" w:hAnsi="Times New Roman" w:cs="Times New Roman"/>
          <w:sz w:val="24"/>
          <w:szCs w:val="24"/>
        </w:rPr>
        <w:t>.</w:t>
      </w:r>
      <w:r w:rsidR="00E10C87" w:rsidRPr="00DE7930">
        <w:rPr>
          <w:rFonts w:ascii="Times New Roman" w:hAnsi="Times New Roman" w:cs="Times New Roman"/>
          <w:sz w:val="24"/>
          <w:szCs w:val="24"/>
        </w:rPr>
        <w:t xml:space="preserve"> It is a manufacturing sector that has maintained its contribution to the economy and export through the years.</w:t>
      </w:r>
      <w:r w:rsidR="00A01FF5" w:rsidRPr="00DE7930">
        <w:rPr>
          <w:rFonts w:ascii="Times New Roman" w:hAnsi="Times New Roman" w:cs="Times New Roman"/>
          <w:color w:val="FF0000"/>
          <w:sz w:val="24"/>
          <w:szCs w:val="24"/>
        </w:rPr>
        <w:t xml:space="preserve"> </w:t>
      </w:r>
      <w:r w:rsidR="007209F6">
        <w:rPr>
          <w:rFonts w:ascii="Times New Roman" w:hAnsi="Times New Roman" w:cs="Times New Roman"/>
          <w:sz w:val="24"/>
          <w:szCs w:val="24"/>
        </w:rPr>
        <w:t>Russia</w:t>
      </w:r>
      <w:r w:rsidR="00E10C87" w:rsidRPr="00DE7930">
        <w:rPr>
          <w:rFonts w:ascii="Times New Roman" w:hAnsi="Times New Roman" w:cs="Times New Roman"/>
          <w:sz w:val="24"/>
          <w:szCs w:val="24"/>
        </w:rPr>
        <w:t xml:space="preserve"> is the main importer taking</w:t>
      </w:r>
      <w:r w:rsidR="00404C93" w:rsidRPr="00DE7930">
        <w:rPr>
          <w:rFonts w:ascii="Times New Roman" w:hAnsi="Times New Roman" w:cs="Times New Roman"/>
          <w:sz w:val="24"/>
          <w:szCs w:val="24"/>
        </w:rPr>
        <w:t xml:space="preserve"> </w:t>
      </w:r>
      <w:r w:rsidR="00E10C87" w:rsidRPr="00DE7930">
        <w:rPr>
          <w:rFonts w:ascii="Times New Roman" w:hAnsi="Times New Roman" w:cs="Times New Roman"/>
          <w:sz w:val="24"/>
          <w:szCs w:val="24"/>
        </w:rPr>
        <w:t>about 75% of the total</w:t>
      </w:r>
      <w:r w:rsidR="00404C93" w:rsidRPr="00DE7930">
        <w:rPr>
          <w:rFonts w:ascii="Times New Roman" w:hAnsi="Times New Roman" w:cs="Times New Roman"/>
          <w:sz w:val="24"/>
          <w:szCs w:val="24"/>
        </w:rPr>
        <w:t xml:space="preserve"> exports</w:t>
      </w:r>
      <w:r w:rsidR="00E10C87" w:rsidRPr="00DE7930">
        <w:rPr>
          <w:rFonts w:ascii="Times New Roman" w:hAnsi="Times New Roman" w:cs="Times New Roman"/>
          <w:sz w:val="24"/>
          <w:szCs w:val="24"/>
        </w:rPr>
        <w:t xml:space="preserve"> of food products</w:t>
      </w:r>
      <w:r w:rsidR="00404C93" w:rsidRPr="00DE7930">
        <w:rPr>
          <w:rFonts w:ascii="Times New Roman" w:hAnsi="Times New Roman" w:cs="Times New Roman"/>
          <w:sz w:val="24"/>
          <w:szCs w:val="24"/>
        </w:rPr>
        <w:t xml:space="preserve">. </w:t>
      </w:r>
      <w:r w:rsidR="00E10C87" w:rsidRPr="00DE7930">
        <w:rPr>
          <w:rFonts w:ascii="Times New Roman" w:hAnsi="Times New Roman" w:cs="Times New Roman"/>
          <w:sz w:val="24"/>
          <w:szCs w:val="24"/>
        </w:rPr>
        <w:t>Yet, the sector is not perfect and need major improvement in</w:t>
      </w:r>
      <w:r w:rsidR="00404C93" w:rsidRPr="00DE7930">
        <w:rPr>
          <w:rFonts w:ascii="Times New Roman" w:hAnsi="Times New Roman" w:cs="Times New Roman"/>
          <w:sz w:val="24"/>
          <w:szCs w:val="24"/>
        </w:rPr>
        <w:t xml:space="preserve"> processing a</w:t>
      </w:r>
      <w:r w:rsidR="00E10C87" w:rsidRPr="00DE7930">
        <w:rPr>
          <w:rFonts w:ascii="Times New Roman" w:hAnsi="Times New Roman" w:cs="Times New Roman"/>
          <w:sz w:val="24"/>
          <w:szCs w:val="24"/>
        </w:rPr>
        <w:t>nd packaging capacity to meet international standards</w:t>
      </w:r>
      <w:r w:rsidRPr="00DE7930">
        <w:rPr>
          <w:rFonts w:ascii="Times New Roman" w:hAnsi="Times New Roman" w:cs="Times New Roman"/>
          <w:sz w:val="24"/>
          <w:szCs w:val="24"/>
        </w:rPr>
        <w:t xml:space="preserve">. </w:t>
      </w:r>
    </w:p>
    <w:p w:rsidR="004C1313" w:rsidRPr="00EC334C" w:rsidRDefault="00404C93" w:rsidP="008D60FB">
      <w:pPr>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color w:val="FF0000"/>
          <w:sz w:val="24"/>
          <w:szCs w:val="24"/>
        </w:rPr>
        <w:lastRenderedPageBreak/>
        <w:t xml:space="preserve"> </w:t>
      </w:r>
      <w:r w:rsidR="00EC334C">
        <w:rPr>
          <w:rFonts w:ascii="Times New Roman" w:hAnsi="Times New Roman" w:cs="Times New Roman"/>
          <w:sz w:val="24"/>
          <w:szCs w:val="24"/>
        </w:rPr>
        <w:t>The decline in the manufacturing sector</w:t>
      </w:r>
      <w:r w:rsidR="00093D9B">
        <w:rPr>
          <w:rFonts w:ascii="Times New Roman" w:hAnsi="Times New Roman" w:cs="Times New Roman"/>
          <w:sz w:val="24"/>
          <w:szCs w:val="24"/>
        </w:rPr>
        <w:t xml:space="preserve"> is a combination of decrease in</w:t>
      </w:r>
      <w:r w:rsidR="00EC334C">
        <w:rPr>
          <w:rFonts w:ascii="Times New Roman" w:hAnsi="Times New Roman" w:cs="Times New Roman"/>
          <w:sz w:val="24"/>
          <w:szCs w:val="24"/>
        </w:rPr>
        <w:t xml:space="preserve"> competitiveness in the world market due to REER appreciation and lack of investment into specific brunches of the sector for innovation, education and renovation.</w:t>
      </w:r>
      <w:r w:rsidR="004C1313">
        <w:rPr>
          <w:rFonts w:ascii="Times New Roman" w:hAnsi="Times New Roman" w:cs="Times New Roman"/>
          <w:sz w:val="24"/>
          <w:szCs w:val="24"/>
        </w:rPr>
        <w:t xml:space="preserve"> The lack of competitiveness is visible in the decline in exports for manufacturing products.</w:t>
      </w:r>
    </w:p>
    <w:p w:rsidR="004C1313" w:rsidRDefault="004C1313" w:rsidP="004C1313">
      <w:pPr>
        <w:pStyle w:val="Default"/>
        <w:ind w:firstLine="547"/>
        <w:jc w:val="right"/>
        <w:rPr>
          <w:i/>
          <w:color w:val="auto"/>
        </w:rPr>
      </w:pPr>
      <w:r>
        <w:rPr>
          <w:i/>
          <w:color w:val="auto"/>
        </w:rPr>
        <w:t xml:space="preserve"> </w:t>
      </w:r>
    </w:p>
    <w:tbl>
      <w:tblPr>
        <w:tblW w:w="8295" w:type="dxa"/>
        <w:jc w:val="center"/>
        <w:tblInd w:w="93" w:type="dxa"/>
        <w:tblLayout w:type="fixed"/>
        <w:tblLook w:val="04A0" w:firstRow="1" w:lastRow="0" w:firstColumn="1" w:lastColumn="0" w:noHBand="0" w:noVBand="1"/>
      </w:tblPr>
      <w:tblGrid>
        <w:gridCol w:w="3075"/>
        <w:gridCol w:w="1260"/>
        <w:gridCol w:w="1260"/>
        <w:gridCol w:w="1260"/>
        <w:gridCol w:w="1440"/>
      </w:tblGrid>
      <w:tr w:rsidR="00857E92" w:rsidRPr="00857E92" w:rsidTr="00857E92">
        <w:trPr>
          <w:trHeight w:val="315"/>
          <w:jc w:val="center"/>
        </w:trPr>
        <w:tc>
          <w:tcPr>
            <w:tcW w:w="3075" w:type="dxa"/>
            <w:tcBorders>
              <w:top w:val="single" w:sz="8" w:space="0" w:color="000000"/>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b/>
                <w:bCs/>
                <w:sz w:val="24"/>
                <w:szCs w:val="24"/>
              </w:rPr>
            </w:pPr>
            <w:r w:rsidRPr="00857E92">
              <w:rPr>
                <w:rFonts w:ascii="Times New Roman" w:eastAsia="Times New Roman" w:hAnsi="Times New Roman" w:cs="Times New Roman"/>
                <w:b/>
                <w:bCs/>
                <w:sz w:val="24"/>
                <w:szCs w:val="24"/>
              </w:rPr>
              <w:t>Products as % of Export</w:t>
            </w:r>
          </w:p>
        </w:tc>
        <w:tc>
          <w:tcPr>
            <w:tcW w:w="1260" w:type="dxa"/>
            <w:tcBorders>
              <w:top w:val="single" w:sz="8" w:space="0" w:color="000000"/>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b/>
                <w:bCs/>
                <w:sz w:val="24"/>
                <w:szCs w:val="24"/>
              </w:rPr>
            </w:pPr>
            <w:r w:rsidRPr="00857E92">
              <w:rPr>
                <w:rFonts w:ascii="Times New Roman" w:eastAsia="Times New Roman" w:hAnsi="Times New Roman" w:cs="Times New Roman"/>
                <w:b/>
                <w:bCs/>
                <w:sz w:val="24"/>
                <w:szCs w:val="24"/>
              </w:rPr>
              <w:t>2000</w:t>
            </w:r>
          </w:p>
        </w:tc>
        <w:tc>
          <w:tcPr>
            <w:tcW w:w="1260" w:type="dxa"/>
            <w:tcBorders>
              <w:top w:val="single" w:sz="8" w:space="0" w:color="000000"/>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b/>
                <w:bCs/>
                <w:sz w:val="24"/>
                <w:szCs w:val="24"/>
              </w:rPr>
            </w:pPr>
            <w:r w:rsidRPr="00857E92">
              <w:rPr>
                <w:rFonts w:ascii="Times New Roman" w:eastAsia="Times New Roman" w:hAnsi="Times New Roman" w:cs="Times New Roman"/>
                <w:b/>
                <w:bCs/>
                <w:sz w:val="24"/>
                <w:szCs w:val="24"/>
              </w:rPr>
              <w:t>2005</w:t>
            </w:r>
          </w:p>
        </w:tc>
        <w:tc>
          <w:tcPr>
            <w:tcW w:w="1260" w:type="dxa"/>
            <w:tcBorders>
              <w:top w:val="single" w:sz="8" w:space="0" w:color="000000"/>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b/>
                <w:bCs/>
                <w:sz w:val="24"/>
                <w:szCs w:val="24"/>
              </w:rPr>
            </w:pPr>
            <w:r w:rsidRPr="00857E92">
              <w:rPr>
                <w:rFonts w:ascii="Times New Roman" w:eastAsia="Times New Roman" w:hAnsi="Times New Roman" w:cs="Times New Roman"/>
                <w:b/>
                <w:bCs/>
                <w:sz w:val="24"/>
                <w:szCs w:val="24"/>
              </w:rPr>
              <w:t>2007</w:t>
            </w:r>
          </w:p>
        </w:tc>
        <w:tc>
          <w:tcPr>
            <w:tcW w:w="1440" w:type="dxa"/>
            <w:tcBorders>
              <w:top w:val="single" w:sz="8" w:space="0" w:color="000000"/>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b/>
                <w:bCs/>
                <w:sz w:val="24"/>
                <w:szCs w:val="24"/>
              </w:rPr>
            </w:pPr>
            <w:r w:rsidRPr="00857E92">
              <w:rPr>
                <w:rFonts w:ascii="Times New Roman" w:eastAsia="Times New Roman" w:hAnsi="Times New Roman" w:cs="Times New Roman"/>
                <w:b/>
                <w:bCs/>
                <w:sz w:val="24"/>
                <w:szCs w:val="24"/>
              </w:rPr>
              <w:t>2009</w:t>
            </w:r>
          </w:p>
        </w:tc>
      </w:tr>
      <w:tr w:rsidR="00857E92" w:rsidRPr="00857E92" w:rsidTr="00857E92">
        <w:trPr>
          <w:trHeight w:val="315"/>
          <w:jc w:val="center"/>
        </w:trPr>
        <w:tc>
          <w:tcPr>
            <w:tcW w:w="3075" w:type="dxa"/>
            <w:tcBorders>
              <w:top w:val="nil"/>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Semi/Precious stones &amp; metals</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40.80%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34.50%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18.10%</w:t>
            </w:r>
          </w:p>
        </w:tc>
        <w:tc>
          <w:tcPr>
            <w:tcW w:w="144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15.10%</w:t>
            </w:r>
          </w:p>
        </w:tc>
      </w:tr>
      <w:tr w:rsidR="00857E92" w:rsidRPr="00857E92" w:rsidTr="00857E92">
        <w:trPr>
          <w:trHeight w:val="315"/>
          <w:jc w:val="center"/>
        </w:trPr>
        <w:tc>
          <w:tcPr>
            <w:tcW w:w="3075" w:type="dxa"/>
            <w:tcBorders>
              <w:top w:val="nil"/>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Non precious metals</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14.90%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33.10%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33.90%</w:t>
            </w:r>
          </w:p>
        </w:tc>
        <w:tc>
          <w:tcPr>
            <w:tcW w:w="144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33.10%</w:t>
            </w:r>
          </w:p>
        </w:tc>
      </w:tr>
      <w:tr w:rsidR="00857E92" w:rsidRPr="00857E92" w:rsidTr="00857E92">
        <w:trPr>
          <w:trHeight w:val="315"/>
          <w:jc w:val="center"/>
        </w:trPr>
        <w:tc>
          <w:tcPr>
            <w:tcW w:w="3075" w:type="dxa"/>
            <w:tcBorders>
              <w:top w:val="nil"/>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Minerals</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11.50%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9.60%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15.10%</w:t>
            </w:r>
          </w:p>
        </w:tc>
        <w:tc>
          <w:tcPr>
            <w:tcW w:w="144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18.90%</w:t>
            </w:r>
          </w:p>
        </w:tc>
      </w:tr>
      <w:tr w:rsidR="00857E92" w:rsidRPr="00857E92" w:rsidTr="00857E92">
        <w:trPr>
          <w:trHeight w:val="315"/>
          <w:jc w:val="center"/>
        </w:trPr>
        <w:tc>
          <w:tcPr>
            <w:tcW w:w="3075" w:type="dxa"/>
            <w:tcBorders>
              <w:top w:val="nil"/>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Machine/equipment/devices</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10.40%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2.90%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3.40%</w:t>
            </w:r>
          </w:p>
        </w:tc>
        <w:tc>
          <w:tcPr>
            <w:tcW w:w="144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3.00%</w:t>
            </w:r>
          </w:p>
        </w:tc>
      </w:tr>
      <w:tr w:rsidR="00857E92" w:rsidRPr="00857E92" w:rsidTr="00857E92">
        <w:trPr>
          <w:trHeight w:val="315"/>
          <w:jc w:val="center"/>
        </w:trPr>
        <w:tc>
          <w:tcPr>
            <w:tcW w:w="3075" w:type="dxa"/>
            <w:tcBorders>
              <w:top w:val="nil"/>
              <w:left w:val="nil"/>
              <w:bottom w:val="nil"/>
              <w:right w:val="nil"/>
            </w:tcBorders>
            <w:shd w:val="clear" w:color="auto" w:fill="auto"/>
            <w:vAlign w:val="center"/>
            <w:hideMark/>
          </w:tcPr>
          <w:p w:rsidR="00857E92" w:rsidRPr="00857E92" w:rsidRDefault="00857E92" w:rsidP="00857E92">
            <w:pPr>
              <w:spacing w:after="0" w:line="360" w:lineRule="auto"/>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Ready food products</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9.20%</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99%</w:t>
            </w:r>
          </w:p>
        </w:tc>
        <w:tc>
          <w:tcPr>
            <w:tcW w:w="126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12.50%</w:t>
            </w:r>
          </w:p>
        </w:tc>
        <w:tc>
          <w:tcPr>
            <w:tcW w:w="1440" w:type="dxa"/>
            <w:tcBorders>
              <w:top w:val="nil"/>
              <w:left w:val="nil"/>
              <w:bottom w:val="nil"/>
              <w:right w:val="nil"/>
            </w:tcBorders>
            <w:shd w:val="clear" w:color="auto" w:fill="auto"/>
            <w:vAlign w:val="center"/>
            <w:hideMark/>
          </w:tcPr>
          <w:p w:rsidR="00857E92" w:rsidRPr="00857E92" w:rsidRDefault="00857E92" w:rsidP="00857E92">
            <w:pPr>
              <w:spacing w:after="0" w:line="360" w:lineRule="auto"/>
              <w:jc w:val="right"/>
              <w:rPr>
                <w:rFonts w:ascii="Times New Roman" w:eastAsia="Times New Roman" w:hAnsi="Times New Roman" w:cs="Times New Roman"/>
                <w:sz w:val="24"/>
                <w:szCs w:val="24"/>
              </w:rPr>
            </w:pPr>
            <w:r w:rsidRPr="00857E92">
              <w:rPr>
                <w:rFonts w:ascii="Times New Roman" w:eastAsia="Times New Roman" w:hAnsi="Times New Roman" w:cs="Times New Roman"/>
                <w:sz w:val="24"/>
                <w:szCs w:val="24"/>
              </w:rPr>
              <w:t>14.30%</w:t>
            </w:r>
          </w:p>
        </w:tc>
      </w:tr>
      <w:tr w:rsidR="00857E92" w:rsidRPr="00857E92" w:rsidTr="00857E92">
        <w:trPr>
          <w:trHeight w:val="390"/>
          <w:jc w:val="center"/>
        </w:trPr>
        <w:tc>
          <w:tcPr>
            <w:tcW w:w="3075" w:type="dxa"/>
            <w:tcBorders>
              <w:top w:val="nil"/>
              <w:left w:val="nil"/>
              <w:bottom w:val="nil"/>
              <w:right w:val="nil"/>
            </w:tcBorders>
            <w:shd w:val="clear" w:color="auto" w:fill="auto"/>
            <w:hideMark/>
          </w:tcPr>
          <w:p w:rsidR="00857E92" w:rsidRPr="00857E92" w:rsidRDefault="00857E92" w:rsidP="00857E92">
            <w:pPr>
              <w:spacing w:after="0" w:line="360" w:lineRule="auto"/>
              <w:rPr>
                <w:rFonts w:ascii="Times New Roman" w:eastAsia="Times New Roman" w:hAnsi="Times New Roman" w:cs="Times New Roman"/>
                <w:color w:val="000000"/>
                <w:sz w:val="24"/>
                <w:szCs w:val="24"/>
              </w:rPr>
            </w:pPr>
            <w:r w:rsidRPr="00857E92">
              <w:rPr>
                <w:rFonts w:ascii="Times New Roman" w:eastAsia="Times New Roman" w:hAnsi="Times New Roman" w:cs="Times New Roman"/>
                <w:color w:val="000000"/>
                <w:sz w:val="24"/>
                <w:szCs w:val="24"/>
              </w:rPr>
              <w:t>Plastics/natural/artificial rubber</w:t>
            </w:r>
          </w:p>
        </w:tc>
        <w:tc>
          <w:tcPr>
            <w:tcW w:w="1260" w:type="dxa"/>
            <w:tcBorders>
              <w:top w:val="nil"/>
              <w:left w:val="nil"/>
              <w:bottom w:val="nil"/>
              <w:right w:val="nil"/>
            </w:tcBorders>
            <w:shd w:val="clear" w:color="auto" w:fill="auto"/>
            <w:hideMark/>
          </w:tcPr>
          <w:p w:rsidR="00857E92" w:rsidRPr="00857E92" w:rsidRDefault="00857E92" w:rsidP="00857E92">
            <w:pPr>
              <w:spacing w:after="0" w:line="360" w:lineRule="auto"/>
              <w:jc w:val="right"/>
              <w:rPr>
                <w:rFonts w:ascii="Times New Roman" w:eastAsia="Times New Roman" w:hAnsi="Times New Roman" w:cs="Times New Roman"/>
                <w:color w:val="000000"/>
                <w:sz w:val="24"/>
                <w:szCs w:val="24"/>
              </w:rPr>
            </w:pPr>
            <w:r w:rsidRPr="00857E92">
              <w:rPr>
                <w:rFonts w:ascii="Times New Roman" w:eastAsia="Times New Roman" w:hAnsi="Times New Roman" w:cs="Times New Roman"/>
                <w:color w:val="000000"/>
                <w:sz w:val="24"/>
                <w:szCs w:val="24"/>
              </w:rPr>
              <w:t>3.00%</w:t>
            </w:r>
          </w:p>
        </w:tc>
        <w:tc>
          <w:tcPr>
            <w:tcW w:w="1260" w:type="dxa"/>
            <w:tcBorders>
              <w:top w:val="nil"/>
              <w:left w:val="nil"/>
              <w:bottom w:val="nil"/>
              <w:right w:val="nil"/>
            </w:tcBorders>
            <w:shd w:val="clear" w:color="auto" w:fill="auto"/>
            <w:hideMark/>
          </w:tcPr>
          <w:p w:rsidR="00857E92" w:rsidRPr="00857E92" w:rsidRDefault="00857E92" w:rsidP="00857E92">
            <w:pPr>
              <w:spacing w:after="0" w:line="360" w:lineRule="auto"/>
              <w:jc w:val="right"/>
              <w:rPr>
                <w:rFonts w:ascii="Times New Roman" w:eastAsia="Times New Roman" w:hAnsi="Times New Roman" w:cs="Times New Roman"/>
                <w:color w:val="000000"/>
                <w:sz w:val="24"/>
                <w:szCs w:val="24"/>
              </w:rPr>
            </w:pPr>
            <w:r w:rsidRPr="00857E92">
              <w:rPr>
                <w:rFonts w:ascii="Times New Roman" w:eastAsia="Times New Roman" w:hAnsi="Times New Roman" w:cs="Times New Roman"/>
                <w:color w:val="000000"/>
                <w:sz w:val="24"/>
                <w:szCs w:val="24"/>
              </w:rPr>
              <w:t>0.90%</w:t>
            </w:r>
          </w:p>
        </w:tc>
        <w:tc>
          <w:tcPr>
            <w:tcW w:w="1260" w:type="dxa"/>
            <w:tcBorders>
              <w:top w:val="nil"/>
              <w:left w:val="nil"/>
              <w:bottom w:val="nil"/>
              <w:right w:val="nil"/>
            </w:tcBorders>
            <w:shd w:val="clear" w:color="auto" w:fill="auto"/>
            <w:hideMark/>
          </w:tcPr>
          <w:p w:rsidR="00857E92" w:rsidRPr="00857E92" w:rsidRDefault="00857E92" w:rsidP="00857E92">
            <w:pPr>
              <w:spacing w:after="0" w:line="360" w:lineRule="auto"/>
              <w:jc w:val="right"/>
              <w:rPr>
                <w:rFonts w:ascii="Times New Roman" w:eastAsia="Times New Roman" w:hAnsi="Times New Roman" w:cs="Times New Roman"/>
                <w:color w:val="000000"/>
                <w:sz w:val="24"/>
                <w:szCs w:val="24"/>
              </w:rPr>
            </w:pPr>
            <w:r w:rsidRPr="00857E92">
              <w:rPr>
                <w:rFonts w:ascii="Times New Roman" w:eastAsia="Times New Roman" w:hAnsi="Times New Roman" w:cs="Times New Roman"/>
                <w:color w:val="000000"/>
                <w:sz w:val="24"/>
                <w:szCs w:val="24"/>
              </w:rPr>
              <w:t>2.70%</w:t>
            </w:r>
          </w:p>
        </w:tc>
        <w:tc>
          <w:tcPr>
            <w:tcW w:w="1440" w:type="dxa"/>
            <w:tcBorders>
              <w:top w:val="nil"/>
              <w:left w:val="nil"/>
              <w:bottom w:val="nil"/>
              <w:right w:val="nil"/>
            </w:tcBorders>
            <w:shd w:val="clear" w:color="auto" w:fill="auto"/>
            <w:hideMark/>
          </w:tcPr>
          <w:p w:rsidR="00857E92" w:rsidRPr="00857E92" w:rsidRDefault="00857E92" w:rsidP="00857E92">
            <w:pPr>
              <w:spacing w:after="0" w:line="360" w:lineRule="auto"/>
              <w:jc w:val="right"/>
              <w:rPr>
                <w:rFonts w:ascii="Times New Roman" w:eastAsia="Times New Roman" w:hAnsi="Times New Roman" w:cs="Times New Roman"/>
                <w:color w:val="000000"/>
                <w:sz w:val="24"/>
                <w:szCs w:val="24"/>
              </w:rPr>
            </w:pPr>
            <w:r w:rsidRPr="00857E92">
              <w:rPr>
                <w:rFonts w:ascii="Times New Roman" w:eastAsia="Times New Roman" w:hAnsi="Times New Roman" w:cs="Times New Roman"/>
                <w:color w:val="000000"/>
                <w:sz w:val="24"/>
                <w:szCs w:val="24"/>
              </w:rPr>
              <w:t>1.50%</w:t>
            </w:r>
          </w:p>
        </w:tc>
      </w:tr>
    </w:tbl>
    <w:p w:rsidR="00857E92" w:rsidRDefault="00857E92" w:rsidP="004C1313">
      <w:pPr>
        <w:pStyle w:val="Default"/>
        <w:ind w:firstLine="547"/>
        <w:jc w:val="right"/>
        <w:rPr>
          <w:i/>
          <w:color w:val="auto"/>
        </w:rPr>
      </w:pPr>
    </w:p>
    <w:p w:rsidR="004C1313" w:rsidRPr="00DE7930" w:rsidRDefault="004C1313" w:rsidP="004C1313">
      <w:pPr>
        <w:pStyle w:val="Default"/>
        <w:ind w:firstLine="547"/>
        <w:jc w:val="right"/>
        <w:rPr>
          <w:i/>
          <w:color w:val="auto"/>
        </w:rPr>
      </w:pPr>
      <w:r>
        <w:rPr>
          <w:i/>
          <w:color w:val="auto"/>
        </w:rPr>
        <w:t>Table 2</w:t>
      </w:r>
    </w:p>
    <w:p w:rsidR="004C1313" w:rsidRDefault="004C1313" w:rsidP="004C1313">
      <w:pPr>
        <w:pStyle w:val="Default"/>
        <w:ind w:firstLine="547"/>
        <w:jc w:val="right"/>
        <w:rPr>
          <w:i/>
        </w:rPr>
      </w:pPr>
      <w:r w:rsidRPr="00DE7930">
        <w:rPr>
          <w:i/>
          <w:color w:val="auto"/>
        </w:rPr>
        <w:t xml:space="preserve">Source </w:t>
      </w:r>
      <w:r w:rsidRPr="00DE7930">
        <w:rPr>
          <w:i/>
        </w:rPr>
        <w:t>RA National Statistics Service</w:t>
      </w:r>
    </w:p>
    <w:p w:rsidR="004C1313" w:rsidRDefault="004C1313" w:rsidP="004C1313">
      <w:pPr>
        <w:pStyle w:val="Default"/>
        <w:ind w:firstLine="547"/>
        <w:jc w:val="right"/>
        <w:rPr>
          <w:i/>
        </w:rPr>
      </w:pPr>
    </w:p>
    <w:p w:rsidR="004C1313" w:rsidRDefault="004C1313" w:rsidP="004C1313">
      <w:pPr>
        <w:pStyle w:val="Default"/>
        <w:ind w:firstLine="547"/>
        <w:jc w:val="right"/>
        <w:rPr>
          <w:i/>
        </w:rPr>
      </w:pPr>
    </w:p>
    <w:p w:rsidR="008200A3" w:rsidRDefault="004C1313" w:rsidP="008200A3">
      <w:pPr>
        <w:autoSpaceDE w:val="0"/>
        <w:autoSpaceDN w:val="0"/>
        <w:adjustRightInd w:val="0"/>
        <w:spacing w:after="0" w:line="480" w:lineRule="auto"/>
        <w:ind w:firstLine="720"/>
        <w:jc w:val="both"/>
        <w:rPr>
          <w:rFonts w:ascii="Times New Roman" w:hAnsi="Times New Roman" w:cs="Times New Roman"/>
          <w:sz w:val="24"/>
          <w:szCs w:val="24"/>
        </w:rPr>
      </w:pPr>
      <w:r w:rsidRPr="00AE6C6A">
        <w:rPr>
          <w:rFonts w:ascii="Times New Roman" w:hAnsi="Times New Roman" w:cs="Times New Roman"/>
          <w:sz w:val="24"/>
          <w:szCs w:val="24"/>
        </w:rPr>
        <w:t xml:space="preserve">Table </w:t>
      </w:r>
      <w:r w:rsidR="007209F6" w:rsidRPr="00AE6C6A">
        <w:rPr>
          <w:rFonts w:ascii="Times New Roman" w:hAnsi="Times New Roman" w:cs="Times New Roman"/>
          <w:sz w:val="24"/>
          <w:szCs w:val="24"/>
        </w:rPr>
        <w:t xml:space="preserve">2 </w:t>
      </w:r>
      <w:r w:rsidRPr="00AE6C6A">
        <w:rPr>
          <w:rFonts w:ascii="Times New Roman" w:hAnsi="Times New Roman" w:cs="Times New Roman"/>
          <w:sz w:val="24"/>
          <w:szCs w:val="24"/>
        </w:rPr>
        <w:t>shows exports by products between 2000 and 2009</w:t>
      </w:r>
      <w:r w:rsidR="00AE6C6A" w:rsidRPr="00AE6C6A">
        <w:rPr>
          <w:rFonts w:ascii="Times New Roman" w:hAnsi="Times New Roman" w:cs="Times New Roman"/>
          <w:sz w:val="24"/>
          <w:szCs w:val="24"/>
        </w:rPr>
        <w:t>. It shows</w:t>
      </w:r>
      <w:r w:rsidR="00AE6C6A">
        <w:rPr>
          <w:rFonts w:ascii="Times New Roman" w:hAnsi="Times New Roman" w:cs="Times New Roman"/>
          <w:sz w:val="24"/>
          <w:szCs w:val="24"/>
        </w:rPr>
        <w:t xml:space="preserve"> mining products in the first 3 rows, (non)precious metals, (semi)</w:t>
      </w:r>
      <w:r w:rsidRPr="00AE6C6A">
        <w:rPr>
          <w:rFonts w:ascii="Times New Roman" w:hAnsi="Times New Roman" w:cs="Times New Roman"/>
          <w:sz w:val="24"/>
          <w:szCs w:val="24"/>
        </w:rPr>
        <w:t>precious stones and minerals</w:t>
      </w:r>
      <w:r w:rsidR="00AE6C6A">
        <w:rPr>
          <w:rFonts w:ascii="Times New Roman" w:hAnsi="Times New Roman" w:cs="Times New Roman"/>
          <w:sz w:val="24"/>
          <w:szCs w:val="24"/>
        </w:rPr>
        <w:t>,</w:t>
      </w:r>
      <w:r w:rsidR="00093D9B">
        <w:rPr>
          <w:rFonts w:ascii="Times New Roman" w:hAnsi="Times New Roman" w:cs="Times New Roman"/>
          <w:sz w:val="24"/>
          <w:szCs w:val="24"/>
        </w:rPr>
        <w:t xml:space="preserve"> which</w:t>
      </w:r>
      <w:r w:rsidRPr="00AE6C6A">
        <w:rPr>
          <w:rFonts w:ascii="Times New Roman" w:hAnsi="Times New Roman" w:cs="Times New Roman"/>
          <w:sz w:val="24"/>
          <w:szCs w:val="24"/>
        </w:rPr>
        <w:t xml:space="preserve"> </w:t>
      </w:r>
      <w:r w:rsidR="00AE6C6A" w:rsidRPr="00AE6C6A">
        <w:rPr>
          <w:rFonts w:ascii="Times New Roman" w:hAnsi="Times New Roman" w:cs="Times New Roman"/>
          <w:sz w:val="24"/>
          <w:szCs w:val="24"/>
        </w:rPr>
        <w:t>create more than 65%</w:t>
      </w:r>
      <w:r w:rsidRPr="00AE6C6A">
        <w:rPr>
          <w:rFonts w:ascii="Times New Roman" w:hAnsi="Times New Roman" w:cs="Times New Roman"/>
          <w:sz w:val="24"/>
          <w:szCs w:val="24"/>
        </w:rPr>
        <w:t xml:space="preserve"> of exports. The </w:t>
      </w:r>
      <w:r w:rsidR="00AE6C6A" w:rsidRPr="00AE6C6A">
        <w:rPr>
          <w:rFonts w:ascii="Times New Roman" w:hAnsi="Times New Roman" w:cs="Times New Roman"/>
          <w:sz w:val="24"/>
          <w:szCs w:val="24"/>
        </w:rPr>
        <w:t>alteration</w:t>
      </w:r>
      <w:r w:rsidRPr="00AE6C6A">
        <w:rPr>
          <w:rFonts w:ascii="Times New Roman" w:hAnsi="Times New Roman" w:cs="Times New Roman"/>
          <w:sz w:val="24"/>
          <w:szCs w:val="24"/>
        </w:rPr>
        <w:t xml:space="preserve"> from precious stones and metals to non-precious metals and minerals is due</w:t>
      </w:r>
      <w:r w:rsidR="00093D9B">
        <w:rPr>
          <w:rFonts w:ascii="Times New Roman" w:hAnsi="Times New Roman" w:cs="Times New Roman"/>
          <w:sz w:val="24"/>
          <w:szCs w:val="24"/>
        </w:rPr>
        <w:t xml:space="preserve"> to</w:t>
      </w:r>
      <w:r w:rsidRPr="00AE6C6A">
        <w:rPr>
          <w:rFonts w:ascii="Times New Roman" w:hAnsi="Times New Roman" w:cs="Times New Roman"/>
          <w:sz w:val="24"/>
          <w:szCs w:val="24"/>
        </w:rPr>
        <w:t xml:space="preserve"> diamond processing</w:t>
      </w:r>
      <w:r w:rsidR="00AE6C6A" w:rsidRPr="00AE6C6A">
        <w:rPr>
          <w:rFonts w:ascii="Times New Roman" w:hAnsi="Times New Roman" w:cs="Times New Roman"/>
          <w:sz w:val="24"/>
          <w:szCs w:val="24"/>
        </w:rPr>
        <w:t xml:space="preserve"> decline. The drop</w:t>
      </w:r>
      <w:r w:rsidRPr="00AE6C6A">
        <w:rPr>
          <w:rFonts w:ascii="Times New Roman" w:hAnsi="Times New Roman" w:cs="Times New Roman"/>
          <w:sz w:val="24"/>
          <w:szCs w:val="24"/>
        </w:rPr>
        <w:t xml:space="preserve"> in the share of machines, equipment and devices, textile products, plastic items and natural and arti</w:t>
      </w:r>
      <w:r w:rsidR="00AE6C6A" w:rsidRPr="00AE6C6A">
        <w:rPr>
          <w:rFonts w:ascii="Times New Roman" w:hAnsi="Times New Roman" w:cs="Times New Roman"/>
          <w:sz w:val="24"/>
          <w:szCs w:val="24"/>
        </w:rPr>
        <w:t>ficial rubber items is a</w:t>
      </w:r>
      <w:r w:rsidRPr="00AE6C6A">
        <w:rPr>
          <w:rFonts w:ascii="Times New Roman" w:hAnsi="Times New Roman" w:cs="Times New Roman"/>
          <w:sz w:val="24"/>
          <w:szCs w:val="24"/>
        </w:rPr>
        <w:t xml:space="preserve"> sign of a loss of competitiveness in the world market</w:t>
      </w:r>
      <w:r w:rsidR="00AE6C6A" w:rsidRPr="00AE6C6A">
        <w:rPr>
          <w:rFonts w:ascii="Times New Roman" w:hAnsi="Times New Roman" w:cs="Times New Roman"/>
          <w:sz w:val="24"/>
          <w:szCs w:val="24"/>
        </w:rPr>
        <w:t xml:space="preserve">. </w:t>
      </w:r>
    </w:p>
    <w:p w:rsidR="00AE6C6A" w:rsidRDefault="00CD5C21" w:rsidP="0053658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Furthermore, trade lacks diversification not only in the products exported, but also in trading partners making Armenia vulnerable. The main trading partners are </w:t>
      </w:r>
      <w:r w:rsidR="00D42D61">
        <w:rPr>
          <w:rFonts w:ascii="Times New Roman" w:hAnsi="Times New Roman" w:cs="Times New Roman"/>
          <w:sz w:val="24"/>
          <w:szCs w:val="24"/>
        </w:rPr>
        <w:t>Russia (19% of total exports), Germany (10%), Georgia (10%), Canada (9.6%) and the USA (5.6%).</w:t>
      </w:r>
      <w:r>
        <w:rPr>
          <w:rFonts w:ascii="Times New Roman" w:hAnsi="Times New Roman" w:cs="Times New Roman"/>
          <w:sz w:val="24"/>
          <w:szCs w:val="24"/>
        </w:rPr>
        <w:t xml:space="preserve"> </w:t>
      </w:r>
      <w:r w:rsidR="00D42D61">
        <w:rPr>
          <w:rStyle w:val="FootnoteReference"/>
          <w:rFonts w:ascii="Times New Roman" w:hAnsi="Times New Roman" w:cs="Times New Roman"/>
          <w:sz w:val="24"/>
          <w:szCs w:val="24"/>
        </w:rPr>
        <w:footnoteReference w:id="3"/>
      </w:r>
    </w:p>
    <w:p w:rsidR="008D60FB" w:rsidRDefault="008D60FB" w:rsidP="00DE7930">
      <w:pPr>
        <w:spacing w:after="0" w:line="480" w:lineRule="auto"/>
        <w:ind w:firstLine="540"/>
        <w:jc w:val="both"/>
        <w:rPr>
          <w:rFonts w:ascii="Times New Roman" w:hAnsi="Times New Roman" w:cs="Times New Roman"/>
          <w:color w:val="000000"/>
          <w:sz w:val="28"/>
          <w:szCs w:val="28"/>
          <w:u w:val="single"/>
        </w:rPr>
      </w:pPr>
    </w:p>
    <w:p w:rsidR="004F1594" w:rsidRPr="00CA59C6" w:rsidRDefault="00536589" w:rsidP="00DE7930">
      <w:pPr>
        <w:spacing w:after="0" w:line="480" w:lineRule="auto"/>
        <w:ind w:firstLine="54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lastRenderedPageBreak/>
        <w:t>S</w:t>
      </w:r>
      <w:r w:rsidR="00DF2A2B">
        <w:rPr>
          <w:rFonts w:ascii="Times New Roman" w:hAnsi="Times New Roman" w:cs="Times New Roman"/>
          <w:color w:val="000000"/>
          <w:sz w:val="28"/>
          <w:szCs w:val="28"/>
          <w:u w:val="single"/>
        </w:rPr>
        <w:t xml:space="preserve">tep </w:t>
      </w:r>
      <w:r w:rsidR="004F1594" w:rsidRPr="00CA59C6">
        <w:rPr>
          <w:rFonts w:ascii="Times New Roman" w:hAnsi="Times New Roman" w:cs="Times New Roman"/>
          <w:color w:val="000000"/>
          <w:sz w:val="28"/>
          <w:szCs w:val="28"/>
          <w:u w:val="single"/>
        </w:rPr>
        <w:t>4. Labour Shifts</w:t>
      </w:r>
    </w:p>
    <w:p w:rsidR="008D0370" w:rsidRPr="00DE7930" w:rsidRDefault="008D0370" w:rsidP="00DE7930">
      <w:pPr>
        <w:autoSpaceDE w:val="0"/>
        <w:autoSpaceDN w:val="0"/>
        <w:adjustRightInd w:val="0"/>
        <w:spacing w:after="0" w:line="480" w:lineRule="auto"/>
        <w:ind w:firstLine="540"/>
        <w:jc w:val="both"/>
        <w:rPr>
          <w:rFonts w:ascii="Times New Roman" w:hAnsi="Times New Roman" w:cs="Times New Roman"/>
          <w:sz w:val="24"/>
          <w:szCs w:val="24"/>
        </w:rPr>
      </w:pPr>
      <w:r w:rsidRPr="00DE7930">
        <w:rPr>
          <w:rFonts w:ascii="Times New Roman" w:hAnsi="Times New Roman" w:cs="Times New Roman"/>
          <w:color w:val="000000"/>
          <w:sz w:val="24"/>
          <w:szCs w:val="24"/>
        </w:rPr>
        <w:t>The theory suggests that there will be some labour shifts between</w:t>
      </w:r>
      <w:r w:rsidR="002C7B75">
        <w:rPr>
          <w:rFonts w:ascii="Times New Roman" w:hAnsi="Times New Roman" w:cs="Times New Roman"/>
          <w:color w:val="000000"/>
          <w:sz w:val="24"/>
          <w:szCs w:val="24"/>
        </w:rPr>
        <w:t xml:space="preserve"> industries. The reason for labour movement</w:t>
      </w:r>
      <w:r w:rsidRPr="00DE7930">
        <w:rPr>
          <w:rFonts w:ascii="Times New Roman" w:hAnsi="Times New Roman" w:cs="Times New Roman"/>
          <w:color w:val="000000"/>
          <w:sz w:val="24"/>
          <w:szCs w:val="24"/>
        </w:rPr>
        <w:t xml:space="preserve"> is explained by two effects, spending and movement, and their sub-effects. </w:t>
      </w:r>
      <w:r w:rsidR="0051298B" w:rsidRPr="00DE7930">
        <w:rPr>
          <w:rFonts w:ascii="Times New Roman" w:hAnsi="Times New Roman" w:cs="Times New Roman"/>
          <w:color w:val="000000"/>
          <w:sz w:val="24"/>
          <w:szCs w:val="24"/>
        </w:rPr>
        <w:t>In a small open economy with abundant resources t</w:t>
      </w:r>
      <w:r w:rsidRPr="00DE7930">
        <w:rPr>
          <w:rFonts w:ascii="Times New Roman" w:hAnsi="Times New Roman" w:cs="Times New Roman"/>
          <w:color w:val="000000"/>
          <w:sz w:val="24"/>
          <w:szCs w:val="24"/>
        </w:rPr>
        <w:t xml:space="preserve">he spending effect describes </w:t>
      </w:r>
      <w:r w:rsidRPr="00DE7930">
        <w:rPr>
          <w:rFonts w:ascii="Times New Roman" w:hAnsi="Times New Roman" w:cs="Times New Roman"/>
          <w:sz w:val="24"/>
          <w:szCs w:val="24"/>
        </w:rPr>
        <w:t xml:space="preserve">the rise in disposable income that follows from FDI into a particular sector gives rise in the demand for tradable and non-tradable goods though bring price asymmetry. The raised prices for the non-tradable goods may bring rise in wages, thus labour shift to that sector. </w:t>
      </w:r>
    </w:p>
    <w:p w:rsidR="00BD7355" w:rsidRDefault="008D0370" w:rsidP="00DE7930">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sz w:val="24"/>
          <w:szCs w:val="24"/>
        </w:rPr>
        <w:t xml:space="preserve"> The movement effect entails increase in marginal productivity of the tradable good sector, thus higher wages, which labour shift towards the tradable good sector.</w:t>
      </w:r>
      <w:r w:rsidR="00A16ABA">
        <w:rPr>
          <w:rFonts w:ascii="Times New Roman" w:hAnsi="Times New Roman" w:cs="Times New Roman"/>
          <w:sz w:val="24"/>
          <w:szCs w:val="24"/>
        </w:rPr>
        <w:t xml:space="preserve"> More often than not, the effect</w:t>
      </w:r>
      <w:r w:rsidRPr="00DE7930">
        <w:rPr>
          <w:rFonts w:ascii="Times New Roman" w:hAnsi="Times New Roman" w:cs="Times New Roman"/>
          <w:sz w:val="24"/>
          <w:szCs w:val="24"/>
        </w:rPr>
        <w:t xml:space="preserve"> causes a decline in the manufacturing sector. </w:t>
      </w:r>
      <w:r w:rsidR="00AB2C6C" w:rsidRPr="00DE7930">
        <w:rPr>
          <w:rFonts w:ascii="Times New Roman" w:hAnsi="Times New Roman" w:cs="Times New Roman"/>
          <w:color w:val="000000"/>
          <w:sz w:val="24"/>
          <w:szCs w:val="24"/>
        </w:rPr>
        <w:t xml:space="preserve">The high employment rate in the mining sector in provinces reflects the movement effect. </w:t>
      </w:r>
      <w:r w:rsidR="00BD7355" w:rsidRPr="00DE7930">
        <w:rPr>
          <w:rFonts w:ascii="Times New Roman" w:hAnsi="Times New Roman" w:cs="Times New Roman"/>
          <w:color w:val="000000"/>
          <w:sz w:val="24"/>
          <w:szCs w:val="24"/>
        </w:rPr>
        <w:t xml:space="preserve">Increase in average wages would correspond to the movement effect. </w:t>
      </w:r>
    </w:p>
    <w:p w:rsidR="001A5171" w:rsidRPr="00DE7930" w:rsidRDefault="001A5171" w:rsidP="00DE7930">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In Armenia’s case evidence shows that the shifts in labour correspond to the movement effect. Particularly in the rural areas employee were encouraged to shift to the resource abundant tradable sector to reduce unemployment and increase productivity and wages (World Bank, 2012).</w:t>
      </w:r>
      <w:r w:rsidR="00A16ABA">
        <w:rPr>
          <w:rFonts w:ascii="Times New Roman" w:hAnsi="Times New Roman" w:cs="Times New Roman"/>
          <w:color w:val="000000"/>
          <w:sz w:val="24"/>
          <w:szCs w:val="24"/>
        </w:rPr>
        <w:t xml:space="preserve"> The effect is seen though higher wages for the resource-intensive sector.</w:t>
      </w:r>
    </w:p>
    <w:p w:rsidR="00CA59C6" w:rsidRDefault="00603DD6" w:rsidP="00A16ABA">
      <w:pPr>
        <w:tabs>
          <w:tab w:val="left" w:pos="90"/>
        </w:tabs>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Table 2</w:t>
      </w:r>
      <w:r w:rsidR="00B06A24">
        <w:rPr>
          <w:rFonts w:ascii="Times New Roman" w:hAnsi="Times New Roman" w:cs="Times New Roman"/>
          <w:color w:val="000000"/>
          <w:sz w:val="24"/>
          <w:szCs w:val="24"/>
        </w:rPr>
        <w:t xml:space="preserve"> </w:t>
      </w:r>
      <w:r w:rsidR="00B06A24" w:rsidRPr="00603DD6">
        <w:rPr>
          <w:rFonts w:ascii="Times New Roman" w:hAnsi="Times New Roman" w:cs="Times New Roman"/>
          <w:color w:val="000000"/>
          <w:sz w:val="24"/>
          <w:szCs w:val="24"/>
        </w:rPr>
        <w:t>in appendix</w:t>
      </w:r>
      <w:r w:rsidR="001543DA" w:rsidRPr="00DE7930">
        <w:rPr>
          <w:rFonts w:ascii="Times New Roman" w:hAnsi="Times New Roman" w:cs="Times New Roman"/>
          <w:color w:val="000000"/>
          <w:sz w:val="24"/>
          <w:szCs w:val="24"/>
        </w:rPr>
        <w:t xml:space="preserve"> depict</w:t>
      </w:r>
      <w:r w:rsidR="00E5784B">
        <w:rPr>
          <w:rFonts w:ascii="Times New Roman" w:hAnsi="Times New Roman" w:cs="Times New Roman"/>
          <w:color w:val="000000"/>
          <w:sz w:val="24"/>
          <w:szCs w:val="24"/>
        </w:rPr>
        <w:t>s</w:t>
      </w:r>
      <w:r w:rsidR="001543DA" w:rsidRPr="00DE7930">
        <w:rPr>
          <w:rFonts w:ascii="Times New Roman" w:hAnsi="Times New Roman" w:cs="Times New Roman"/>
          <w:color w:val="000000"/>
          <w:sz w:val="24"/>
          <w:szCs w:val="24"/>
        </w:rPr>
        <w:t xml:space="preserve"> the percentage of employees receiving a certain salary range by industry. It is clearly visible that in mining sector a higher percentage of employees receive a salary in the range from 121,000 to 240,000 in AMD than any other sector.</w:t>
      </w:r>
      <w:r w:rsidR="00DA5E3B">
        <w:rPr>
          <w:rFonts w:ascii="Times New Roman" w:hAnsi="Times New Roman" w:cs="Times New Roman"/>
          <w:color w:val="000000"/>
          <w:sz w:val="24"/>
          <w:szCs w:val="24"/>
        </w:rPr>
        <w:t xml:space="preserve"> </w:t>
      </w:r>
      <w:r w:rsidR="00DA5E3B" w:rsidRPr="00603DD6">
        <w:rPr>
          <w:rFonts w:ascii="Times New Roman" w:hAnsi="Times New Roman" w:cs="Times New Roman"/>
          <w:color w:val="000000"/>
          <w:sz w:val="24"/>
          <w:szCs w:val="24"/>
        </w:rPr>
        <w:t>Figure</w:t>
      </w:r>
      <w:r w:rsidR="00DA5E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 </w:t>
      </w:r>
      <w:r w:rsidR="00DA5E3B">
        <w:rPr>
          <w:rFonts w:ascii="Times New Roman" w:hAnsi="Times New Roman" w:cs="Times New Roman"/>
          <w:color w:val="000000"/>
          <w:sz w:val="24"/>
          <w:szCs w:val="24"/>
        </w:rPr>
        <w:t>compares these statistics for the total economy, illustrating that the mining sector has higher average salary for more percentage of employees.</w:t>
      </w:r>
      <w:r w:rsidRPr="00603DD6">
        <w:rPr>
          <w:rStyle w:val="FootnoteReference"/>
          <w:rFonts w:ascii="Times New Roman" w:hAnsi="Times New Roman" w:cs="Times New Roman"/>
          <w:color w:val="000000"/>
          <w:sz w:val="24"/>
          <w:szCs w:val="24"/>
        </w:rPr>
        <w:t xml:space="preserve"> </w:t>
      </w:r>
      <w:r>
        <w:rPr>
          <w:rStyle w:val="FootnoteReference"/>
          <w:rFonts w:ascii="Times New Roman" w:hAnsi="Times New Roman" w:cs="Times New Roman"/>
          <w:color w:val="000000"/>
          <w:sz w:val="24"/>
          <w:szCs w:val="24"/>
        </w:rPr>
        <w:footnoteReference w:id="4"/>
      </w:r>
      <w:r w:rsidR="00DA5E3B">
        <w:rPr>
          <w:rFonts w:ascii="Times New Roman" w:hAnsi="Times New Roman" w:cs="Times New Roman"/>
          <w:color w:val="000000"/>
          <w:sz w:val="24"/>
          <w:szCs w:val="24"/>
        </w:rPr>
        <w:t xml:space="preserve"> </w:t>
      </w:r>
      <w:r w:rsidR="00962124" w:rsidRPr="00DE7930">
        <w:rPr>
          <w:rFonts w:ascii="Times New Roman" w:hAnsi="Times New Roman" w:cs="Times New Roman"/>
          <w:color w:val="000000"/>
          <w:sz w:val="24"/>
          <w:szCs w:val="24"/>
        </w:rPr>
        <w:t>The combination of higher wages and high employment makes mining a booming sector in the Dutch Disease theory.</w:t>
      </w:r>
    </w:p>
    <w:p w:rsidR="00EA4456" w:rsidRDefault="00EA4456" w:rsidP="00536589">
      <w:pPr>
        <w:spacing w:after="0" w:line="240" w:lineRule="auto"/>
        <w:rPr>
          <w:rFonts w:ascii="Times New Roman" w:hAnsi="Times New Roman" w:cs="Times New Roman"/>
          <w:i/>
          <w:color w:val="000000"/>
          <w:sz w:val="24"/>
          <w:szCs w:val="24"/>
        </w:rPr>
      </w:pPr>
    </w:p>
    <w:p w:rsidR="00CA59C6" w:rsidRDefault="00CA59C6" w:rsidP="00CA59C6">
      <w:pPr>
        <w:spacing w:after="0" w:line="240" w:lineRule="auto"/>
        <w:ind w:firstLine="547"/>
        <w:jc w:val="right"/>
        <w:rPr>
          <w:rFonts w:ascii="Times New Roman" w:hAnsi="Times New Roman" w:cs="Times New Roman"/>
          <w:i/>
          <w:color w:val="000000"/>
          <w:sz w:val="24"/>
          <w:szCs w:val="24"/>
        </w:rPr>
      </w:pPr>
    </w:p>
    <w:p w:rsidR="00E5784B" w:rsidRPr="00DE7930" w:rsidRDefault="00E5784B" w:rsidP="00E5784B">
      <w:pPr>
        <w:spacing w:after="0" w:line="480" w:lineRule="auto"/>
        <w:jc w:val="both"/>
        <w:rPr>
          <w:rFonts w:ascii="Times New Roman" w:hAnsi="Times New Roman" w:cs="Times New Roman"/>
          <w:color w:val="000000"/>
          <w:sz w:val="24"/>
          <w:szCs w:val="24"/>
          <w:u w:val="single"/>
        </w:rPr>
      </w:pPr>
      <w:r w:rsidRPr="00DE7930">
        <w:rPr>
          <w:rFonts w:ascii="Times New Roman" w:hAnsi="Times New Roman" w:cs="Times New Roman"/>
          <w:noProof/>
          <w:sz w:val="24"/>
          <w:szCs w:val="24"/>
        </w:rPr>
        <w:lastRenderedPageBreak/>
        <w:drawing>
          <wp:inline distT="0" distB="0" distL="0" distR="0" wp14:anchorId="1D38BAEC" wp14:editId="24679E7E">
            <wp:extent cx="5730949" cy="4051005"/>
            <wp:effectExtent l="0" t="0" r="22225" b="260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784B" w:rsidRPr="00DE7930" w:rsidRDefault="006E3B43" w:rsidP="00E5784B">
      <w:pPr>
        <w:spacing w:after="0" w:line="240" w:lineRule="auto"/>
        <w:ind w:firstLine="547"/>
        <w:jc w:val="right"/>
        <w:rPr>
          <w:rFonts w:ascii="Times New Roman" w:hAnsi="Times New Roman" w:cs="Times New Roman"/>
          <w:i/>
          <w:color w:val="000000"/>
          <w:sz w:val="24"/>
          <w:szCs w:val="24"/>
        </w:rPr>
      </w:pPr>
      <w:r>
        <w:rPr>
          <w:rFonts w:ascii="Times New Roman" w:hAnsi="Times New Roman" w:cs="Times New Roman"/>
          <w:i/>
          <w:color w:val="000000"/>
          <w:sz w:val="24"/>
          <w:szCs w:val="24"/>
        </w:rPr>
        <w:t>Figure 7</w:t>
      </w:r>
      <w:r w:rsidR="00E5784B" w:rsidRPr="00DE7930">
        <w:rPr>
          <w:rFonts w:ascii="Times New Roman" w:hAnsi="Times New Roman" w:cs="Times New Roman"/>
          <w:i/>
          <w:color w:val="000000"/>
          <w:sz w:val="24"/>
          <w:szCs w:val="24"/>
        </w:rPr>
        <w:t xml:space="preserve"> </w:t>
      </w:r>
    </w:p>
    <w:p w:rsidR="00E5784B" w:rsidRPr="00DE7930" w:rsidRDefault="00E5784B" w:rsidP="00E5784B">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 RA National Statistics Service</w:t>
      </w:r>
      <w:r w:rsidR="001C4E0E">
        <w:rPr>
          <w:rFonts w:ascii="Times New Roman" w:hAnsi="Times New Roman" w:cs="Times New Roman"/>
          <w:i/>
          <w:color w:val="000000"/>
          <w:sz w:val="24"/>
          <w:szCs w:val="24"/>
        </w:rPr>
        <w:t>, A. Grigoryan Calculation</w:t>
      </w:r>
    </w:p>
    <w:p w:rsidR="00CA59C6" w:rsidRDefault="00CA59C6" w:rsidP="00E5784B">
      <w:pPr>
        <w:spacing w:after="0" w:line="240" w:lineRule="auto"/>
        <w:ind w:firstLine="547"/>
        <w:jc w:val="both"/>
        <w:rPr>
          <w:rFonts w:ascii="Times New Roman" w:hAnsi="Times New Roman" w:cs="Times New Roman"/>
          <w:color w:val="000000"/>
          <w:sz w:val="24"/>
          <w:szCs w:val="24"/>
        </w:rPr>
      </w:pPr>
    </w:p>
    <w:p w:rsidR="00E5784B" w:rsidRDefault="00E5784B" w:rsidP="00E5784B">
      <w:pPr>
        <w:spacing w:after="0" w:line="480" w:lineRule="auto"/>
        <w:jc w:val="both"/>
        <w:rPr>
          <w:rFonts w:ascii="Times New Roman" w:hAnsi="Times New Roman" w:cs="Times New Roman"/>
          <w:color w:val="000000"/>
          <w:sz w:val="24"/>
          <w:szCs w:val="24"/>
        </w:rPr>
      </w:pPr>
    </w:p>
    <w:p w:rsidR="00EA4456" w:rsidRPr="002C7B75" w:rsidRDefault="00334237" w:rsidP="002C7B75">
      <w:pPr>
        <w:spacing w:after="0" w:line="480" w:lineRule="auto"/>
        <w:ind w:firstLine="720"/>
        <w:jc w:val="both"/>
        <w:rPr>
          <w:rFonts w:ascii="Times New Roman" w:hAnsi="Times New Roman" w:cs="Times New Roman"/>
          <w:i/>
          <w:color w:val="000000"/>
          <w:sz w:val="24"/>
          <w:szCs w:val="24"/>
        </w:rPr>
      </w:pPr>
      <w:r>
        <w:rPr>
          <w:rFonts w:ascii="Times New Roman" w:hAnsi="Times New Roman" w:cs="Times New Roman"/>
          <w:color w:val="000000"/>
          <w:sz w:val="24"/>
          <w:szCs w:val="24"/>
        </w:rPr>
        <w:t>Figure 7</w:t>
      </w:r>
      <w:r w:rsidR="00E5784B">
        <w:rPr>
          <w:rFonts w:ascii="Times New Roman" w:hAnsi="Times New Roman" w:cs="Times New Roman"/>
          <w:color w:val="000000"/>
          <w:sz w:val="24"/>
          <w:szCs w:val="24"/>
        </w:rPr>
        <w:t xml:space="preserve"> illustrates the findings in </w:t>
      </w:r>
      <w:r w:rsidR="00603DD6" w:rsidRPr="00603DD6">
        <w:rPr>
          <w:rFonts w:ascii="Times New Roman" w:hAnsi="Times New Roman" w:cs="Times New Roman"/>
          <w:color w:val="000000"/>
          <w:sz w:val="24"/>
          <w:szCs w:val="24"/>
        </w:rPr>
        <w:t xml:space="preserve">Table </w:t>
      </w:r>
      <w:r w:rsidR="00603DD6">
        <w:rPr>
          <w:rFonts w:ascii="Times New Roman" w:hAnsi="Times New Roman" w:cs="Times New Roman"/>
          <w:color w:val="000000"/>
          <w:sz w:val="24"/>
          <w:szCs w:val="24"/>
        </w:rPr>
        <w:t>2</w:t>
      </w:r>
      <w:r w:rsidR="00B06A24">
        <w:rPr>
          <w:rFonts w:ascii="Times New Roman" w:hAnsi="Times New Roman" w:cs="Times New Roman"/>
          <w:color w:val="000000"/>
          <w:sz w:val="24"/>
          <w:szCs w:val="24"/>
        </w:rPr>
        <w:t xml:space="preserve"> in appendix</w:t>
      </w:r>
      <w:r w:rsidR="00E5784B">
        <w:rPr>
          <w:rFonts w:ascii="Times New Roman" w:hAnsi="Times New Roman" w:cs="Times New Roman"/>
          <w:color w:val="000000"/>
          <w:sz w:val="24"/>
          <w:szCs w:val="24"/>
        </w:rPr>
        <w:t xml:space="preserve"> graphically, comparing the employee density receiving a given salary range to the situation in the industry on average. The highest frequency in a salary range for the average industry is between 30,000 and 90,000, mostly due to salaries in agriculture and transportation sectors. The sectors are labour intensive and have a very large percentage of employee from the total labour force of Armenia, thus the average industry density is a good indicator of the salary range in the current state. Meanwhile, the mining sector has an average salary that is more than twice higher than the two most labour intensive sectors in the economy.</w:t>
      </w:r>
      <w:r w:rsidR="002C7B75">
        <w:rPr>
          <w:rFonts w:ascii="Times New Roman" w:hAnsi="Times New Roman" w:cs="Times New Roman"/>
          <w:color w:val="000000"/>
          <w:sz w:val="24"/>
          <w:szCs w:val="24"/>
        </w:rPr>
        <w:t xml:space="preserve"> Thus, s</w:t>
      </w:r>
      <w:r w:rsidR="005D3675">
        <w:rPr>
          <w:rFonts w:ascii="Times New Roman" w:hAnsi="Times New Roman" w:cs="Times New Roman"/>
          <w:color w:val="000000"/>
          <w:sz w:val="24"/>
          <w:szCs w:val="24"/>
        </w:rPr>
        <w:t xml:space="preserve">tep </w:t>
      </w:r>
      <w:r w:rsidR="00A30319">
        <w:rPr>
          <w:rFonts w:ascii="Times New Roman" w:hAnsi="Times New Roman" w:cs="Times New Roman"/>
          <w:color w:val="000000"/>
          <w:sz w:val="24"/>
          <w:szCs w:val="24"/>
        </w:rPr>
        <w:t>4 corresponds to the DD theory in the way that the economy moves according to the movement effect. The labour force is moving towards the resource intensive sector, since investment in the sector generates employment opportunity and higher wages.</w:t>
      </w:r>
    </w:p>
    <w:p w:rsidR="004F1594" w:rsidRPr="00451833" w:rsidRDefault="00DF2A2B" w:rsidP="00DE7930">
      <w:pPr>
        <w:spacing w:after="0" w:line="480" w:lineRule="auto"/>
        <w:ind w:firstLine="540"/>
        <w:jc w:val="both"/>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lastRenderedPageBreak/>
        <w:t xml:space="preserve">Step </w:t>
      </w:r>
      <w:r w:rsidR="004F1594" w:rsidRPr="00451833">
        <w:rPr>
          <w:rFonts w:ascii="Times New Roman" w:hAnsi="Times New Roman" w:cs="Times New Roman"/>
          <w:color w:val="000000"/>
          <w:sz w:val="28"/>
          <w:szCs w:val="28"/>
          <w:u w:val="single"/>
        </w:rPr>
        <w:t xml:space="preserve">5. Dependence on Natural Resources and/or </w:t>
      </w:r>
      <w:r w:rsidR="002D5C2F" w:rsidRPr="00451833">
        <w:rPr>
          <w:rFonts w:ascii="Times New Roman" w:hAnsi="Times New Roman" w:cs="Times New Roman"/>
          <w:color w:val="000000"/>
          <w:sz w:val="28"/>
          <w:szCs w:val="28"/>
          <w:u w:val="single"/>
        </w:rPr>
        <w:t>Financial</w:t>
      </w:r>
      <w:r w:rsidR="004F1594" w:rsidRPr="00451833">
        <w:rPr>
          <w:rFonts w:ascii="Times New Roman" w:hAnsi="Times New Roman" w:cs="Times New Roman"/>
          <w:color w:val="000000"/>
          <w:sz w:val="28"/>
          <w:szCs w:val="28"/>
          <w:u w:val="single"/>
        </w:rPr>
        <w:t xml:space="preserve"> Aid</w:t>
      </w:r>
    </w:p>
    <w:p w:rsidR="00E14535" w:rsidRDefault="00721E3F" w:rsidP="00DE7930">
      <w:pPr>
        <w:spacing w:after="0" w:line="480" w:lineRule="auto"/>
        <w:ind w:firstLine="540"/>
        <w:jc w:val="both"/>
        <w:rPr>
          <w:rFonts w:ascii="Times New Roman" w:hAnsi="Times New Roman" w:cs="Times New Roman"/>
          <w:color w:val="000000"/>
          <w:sz w:val="24"/>
          <w:szCs w:val="24"/>
        </w:rPr>
      </w:pPr>
      <w:r w:rsidRPr="00DE7930">
        <w:rPr>
          <w:rFonts w:ascii="Times New Roman" w:hAnsi="Times New Roman" w:cs="Times New Roman"/>
          <w:color w:val="000000"/>
          <w:sz w:val="24"/>
          <w:szCs w:val="24"/>
        </w:rPr>
        <w:t>The mining sector is significant for economic growth</w:t>
      </w:r>
      <w:r w:rsidR="009A59D5">
        <w:rPr>
          <w:rFonts w:ascii="Times New Roman" w:hAnsi="Times New Roman" w:cs="Times New Roman"/>
          <w:color w:val="000000"/>
          <w:sz w:val="24"/>
          <w:szCs w:val="24"/>
        </w:rPr>
        <w:t>, foreign direct investment,</w:t>
      </w:r>
      <w:r w:rsidRPr="00DE7930">
        <w:rPr>
          <w:rFonts w:ascii="Times New Roman" w:hAnsi="Times New Roman" w:cs="Times New Roman"/>
          <w:color w:val="000000"/>
          <w:sz w:val="24"/>
          <w:szCs w:val="24"/>
        </w:rPr>
        <w:t xml:space="preserve"> economic activity in the provinces and is a major source of employment. Armenia has rich and diverse mineral resources such as: gold, silver, copper, lead, zinc, iron-ore and other metals and minerals</w:t>
      </w:r>
    </w:p>
    <w:p w:rsidR="00192228" w:rsidRPr="00DE7930" w:rsidRDefault="00192228" w:rsidP="00DE7930">
      <w:pPr>
        <w:spacing w:after="0" w:line="480" w:lineRule="auto"/>
        <w:ind w:firstLine="540"/>
        <w:jc w:val="both"/>
        <w:rPr>
          <w:rFonts w:ascii="Times New Roman" w:hAnsi="Times New Roman" w:cs="Times New Roman"/>
          <w:color w:val="000000"/>
          <w:sz w:val="24"/>
          <w:szCs w:val="24"/>
        </w:rPr>
      </w:pPr>
    </w:p>
    <w:p w:rsidR="00F76D78" w:rsidRPr="00DE7930" w:rsidRDefault="00E14535" w:rsidP="00DA4E09">
      <w:pPr>
        <w:spacing w:after="0" w:line="480" w:lineRule="auto"/>
        <w:jc w:val="both"/>
        <w:rPr>
          <w:rFonts w:ascii="Times New Roman" w:hAnsi="Times New Roman" w:cs="Times New Roman"/>
          <w:i/>
          <w:color w:val="000000"/>
          <w:sz w:val="24"/>
          <w:szCs w:val="24"/>
        </w:rPr>
      </w:pPr>
      <w:r w:rsidRPr="00DE7930">
        <w:rPr>
          <w:rFonts w:ascii="Times New Roman" w:hAnsi="Times New Roman" w:cs="Times New Roman"/>
          <w:noProof/>
          <w:sz w:val="24"/>
          <w:szCs w:val="24"/>
        </w:rPr>
        <w:drawing>
          <wp:inline distT="0" distB="0" distL="0" distR="0" wp14:anchorId="36380870" wp14:editId="1EA8812A">
            <wp:extent cx="5358809" cy="3338623"/>
            <wp:effectExtent l="0" t="0" r="1333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14535" w:rsidRPr="00DE7930" w:rsidRDefault="00E14535" w:rsidP="00451833">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w:t>
      </w:r>
      <w:r w:rsidR="006E3B43">
        <w:rPr>
          <w:rFonts w:ascii="Times New Roman" w:hAnsi="Times New Roman" w:cs="Times New Roman"/>
          <w:i/>
          <w:color w:val="000000"/>
          <w:sz w:val="24"/>
          <w:szCs w:val="24"/>
        </w:rPr>
        <w:t xml:space="preserve"> 8</w:t>
      </w:r>
    </w:p>
    <w:p w:rsidR="00E14535" w:rsidRPr="00DE7930" w:rsidRDefault="00DE7930" w:rsidP="00451833">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 RA National Statistics Service</w:t>
      </w:r>
      <w:r w:rsidR="001C4E0E">
        <w:rPr>
          <w:rFonts w:ascii="Times New Roman" w:hAnsi="Times New Roman" w:cs="Times New Roman"/>
          <w:i/>
          <w:color w:val="000000"/>
          <w:sz w:val="24"/>
          <w:szCs w:val="24"/>
        </w:rPr>
        <w:t>, Authors calculations</w:t>
      </w:r>
    </w:p>
    <w:p w:rsidR="00721E3F" w:rsidRPr="00DE7930" w:rsidRDefault="00721E3F" w:rsidP="00DE7930">
      <w:pPr>
        <w:spacing w:after="0" w:line="480" w:lineRule="auto"/>
        <w:ind w:firstLine="540"/>
        <w:jc w:val="both"/>
        <w:rPr>
          <w:rFonts w:ascii="Times New Roman" w:hAnsi="Times New Roman" w:cs="Times New Roman"/>
          <w:color w:val="000000"/>
          <w:sz w:val="24"/>
          <w:szCs w:val="24"/>
        </w:rPr>
      </w:pPr>
    </w:p>
    <w:p w:rsidR="00F76D78" w:rsidRDefault="00334237" w:rsidP="00B06A24">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00721E3F" w:rsidRPr="00DE7930">
        <w:rPr>
          <w:rFonts w:ascii="Times New Roman" w:hAnsi="Times New Roman" w:cs="Times New Roman"/>
          <w:color w:val="000000"/>
          <w:sz w:val="24"/>
          <w:szCs w:val="24"/>
        </w:rPr>
        <w:t>igure</w:t>
      </w:r>
      <w:r>
        <w:rPr>
          <w:rFonts w:ascii="Times New Roman" w:hAnsi="Times New Roman" w:cs="Times New Roman"/>
          <w:color w:val="000000"/>
          <w:sz w:val="24"/>
          <w:szCs w:val="24"/>
        </w:rPr>
        <w:t xml:space="preserve"> 8</w:t>
      </w:r>
      <w:r w:rsidR="00721E3F" w:rsidRPr="00DE7930">
        <w:rPr>
          <w:rFonts w:ascii="Times New Roman" w:hAnsi="Times New Roman" w:cs="Times New Roman"/>
          <w:color w:val="000000"/>
          <w:sz w:val="24"/>
          <w:szCs w:val="24"/>
        </w:rPr>
        <w:t xml:space="preserve"> shows time trends for the mining production and it contribution to the structure of GDP. A rapid growth through 2003 to 2007 was followed by a drop during the crisis years. Parallel to the trends of </w:t>
      </w:r>
      <w:r w:rsidR="00B06A24">
        <w:rPr>
          <w:rFonts w:ascii="Times New Roman" w:hAnsi="Times New Roman" w:cs="Times New Roman"/>
          <w:color w:val="000000"/>
          <w:sz w:val="24"/>
          <w:szCs w:val="24"/>
        </w:rPr>
        <w:t>REER</w:t>
      </w:r>
      <w:r w:rsidR="00721E3F" w:rsidRPr="00DE7930">
        <w:rPr>
          <w:rFonts w:ascii="Times New Roman" w:hAnsi="Times New Roman" w:cs="Times New Roman"/>
          <w:color w:val="000000"/>
          <w:sz w:val="24"/>
          <w:szCs w:val="24"/>
        </w:rPr>
        <w:t>, the production was reacting to copper price and world market demand volatility.</w:t>
      </w:r>
      <w:r w:rsidR="00B06A24">
        <w:rPr>
          <w:rStyle w:val="FootnoteReference"/>
          <w:rFonts w:ascii="Times New Roman" w:hAnsi="Times New Roman" w:cs="Times New Roman"/>
          <w:color w:val="000000"/>
          <w:sz w:val="24"/>
          <w:szCs w:val="24"/>
        </w:rPr>
        <w:footnoteReference w:id="5"/>
      </w:r>
      <w:r w:rsidR="00721E3F" w:rsidRPr="00DE7930">
        <w:rPr>
          <w:rFonts w:ascii="Times New Roman" w:hAnsi="Times New Roman" w:cs="Times New Roman"/>
          <w:color w:val="000000"/>
          <w:sz w:val="24"/>
          <w:szCs w:val="24"/>
        </w:rPr>
        <w:t xml:space="preserve"> Mining </w:t>
      </w:r>
      <w:r w:rsidR="00B06A24">
        <w:rPr>
          <w:rFonts w:ascii="Times New Roman" w:hAnsi="Times New Roman" w:cs="Times New Roman"/>
          <w:color w:val="000000"/>
          <w:sz w:val="24"/>
          <w:szCs w:val="24"/>
        </w:rPr>
        <w:t>contributes to the GDP through industry output, e</w:t>
      </w:r>
      <w:r w:rsidR="00721E3F" w:rsidRPr="00DE7930">
        <w:rPr>
          <w:rFonts w:ascii="Times New Roman" w:hAnsi="Times New Roman" w:cs="Times New Roman"/>
          <w:color w:val="000000"/>
          <w:sz w:val="24"/>
          <w:szCs w:val="24"/>
        </w:rPr>
        <w:t>xports, FDI inflow, emp</w:t>
      </w:r>
      <w:r w:rsidR="00B06A24">
        <w:rPr>
          <w:rFonts w:ascii="Times New Roman" w:hAnsi="Times New Roman" w:cs="Times New Roman"/>
          <w:color w:val="000000"/>
          <w:sz w:val="24"/>
          <w:szCs w:val="24"/>
        </w:rPr>
        <w:t>loyment opportunity and</w:t>
      </w:r>
      <w:r w:rsidR="00721E3F" w:rsidRPr="00DE7930">
        <w:rPr>
          <w:rFonts w:ascii="Times New Roman" w:hAnsi="Times New Roman" w:cs="Times New Roman"/>
          <w:color w:val="000000"/>
          <w:sz w:val="24"/>
          <w:szCs w:val="24"/>
        </w:rPr>
        <w:t xml:space="preserve"> development</w:t>
      </w:r>
      <w:r w:rsidR="00B06A24">
        <w:rPr>
          <w:rFonts w:ascii="Times New Roman" w:hAnsi="Times New Roman" w:cs="Times New Roman"/>
          <w:color w:val="000000"/>
          <w:sz w:val="24"/>
          <w:szCs w:val="24"/>
        </w:rPr>
        <w:t xml:space="preserve"> of infrastructure in provinces</w:t>
      </w:r>
      <w:r w:rsidR="00721E3F" w:rsidRPr="00DE7930">
        <w:rPr>
          <w:rFonts w:ascii="Times New Roman" w:hAnsi="Times New Roman" w:cs="Times New Roman"/>
          <w:color w:val="000000"/>
          <w:sz w:val="24"/>
          <w:szCs w:val="24"/>
        </w:rPr>
        <w:t xml:space="preserve">. </w:t>
      </w:r>
      <w:r w:rsidR="00F76D78" w:rsidRPr="00DE7930">
        <w:rPr>
          <w:rFonts w:ascii="Times New Roman" w:hAnsi="Times New Roman" w:cs="Times New Roman"/>
          <w:color w:val="000000"/>
          <w:sz w:val="24"/>
          <w:szCs w:val="24"/>
        </w:rPr>
        <w:t xml:space="preserve">Main </w:t>
      </w:r>
      <w:r w:rsidR="00F76D78" w:rsidRPr="00DE7930">
        <w:rPr>
          <w:rFonts w:ascii="Times New Roman" w:hAnsi="Times New Roman" w:cs="Times New Roman"/>
          <w:color w:val="000000"/>
          <w:sz w:val="24"/>
          <w:szCs w:val="24"/>
        </w:rPr>
        <w:lastRenderedPageBreak/>
        <w:t>branches of GDP structure show that Services contribute</w:t>
      </w:r>
      <w:r w:rsidR="009A59D5">
        <w:rPr>
          <w:rFonts w:ascii="Times New Roman" w:hAnsi="Times New Roman" w:cs="Times New Roman"/>
          <w:color w:val="000000"/>
          <w:sz w:val="24"/>
          <w:szCs w:val="24"/>
        </w:rPr>
        <w:t>d</w:t>
      </w:r>
      <w:r w:rsidR="00F76D78" w:rsidRPr="00DE7930">
        <w:rPr>
          <w:rFonts w:ascii="Times New Roman" w:hAnsi="Times New Roman" w:cs="Times New Roman"/>
          <w:color w:val="000000"/>
          <w:sz w:val="24"/>
          <w:szCs w:val="24"/>
        </w:rPr>
        <w:t xml:space="preserve"> to 42</w:t>
      </w:r>
      <w:r w:rsidR="009A59D5">
        <w:rPr>
          <w:rFonts w:ascii="Times New Roman" w:hAnsi="Times New Roman" w:cs="Times New Roman"/>
          <w:color w:val="000000"/>
          <w:sz w:val="24"/>
          <w:szCs w:val="24"/>
        </w:rPr>
        <w:t>.1%, Agriculture 20.6%</w:t>
      </w:r>
      <w:r w:rsidR="00F76D78" w:rsidRPr="00DE7930">
        <w:rPr>
          <w:rFonts w:ascii="Times New Roman" w:hAnsi="Times New Roman" w:cs="Times New Roman"/>
          <w:color w:val="000000"/>
          <w:sz w:val="24"/>
          <w:szCs w:val="24"/>
        </w:rPr>
        <w:t xml:space="preserve"> </w:t>
      </w:r>
      <w:r w:rsidR="009A59D5">
        <w:rPr>
          <w:rFonts w:ascii="Times New Roman" w:hAnsi="Times New Roman" w:cs="Times New Roman"/>
          <w:color w:val="000000"/>
          <w:sz w:val="24"/>
          <w:szCs w:val="24"/>
        </w:rPr>
        <w:t>and Industry 37.3</w:t>
      </w:r>
      <w:r w:rsidR="00F76D78" w:rsidRPr="00DE7930">
        <w:rPr>
          <w:rFonts w:ascii="Times New Roman" w:hAnsi="Times New Roman" w:cs="Times New Roman"/>
          <w:color w:val="000000"/>
          <w:sz w:val="24"/>
          <w:szCs w:val="24"/>
        </w:rPr>
        <w:t>%</w:t>
      </w:r>
      <w:r w:rsidR="009A59D5">
        <w:rPr>
          <w:rFonts w:ascii="Times New Roman" w:hAnsi="Times New Roman" w:cs="Times New Roman"/>
          <w:color w:val="000000"/>
          <w:sz w:val="24"/>
          <w:szCs w:val="24"/>
        </w:rPr>
        <w:t xml:space="preserve"> in 2013</w:t>
      </w:r>
      <w:r w:rsidR="00F76D78" w:rsidRPr="00DE7930">
        <w:rPr>
          <w:rFonts w:ascii="Times New Roman" w:hAnsi="Times New Roman" w:cs="Times New Roman"/>
          <w:color w:val="000000"/>
          <w:sz w:val="24"/>
          <w:szCs w:val="24"/>
        </w:rPr>
        <w:t>. Industry is quite a</w:t>
      </w:r>
      <w:r w:rsidR="00B06A24">
        <w:rPr>
          <w:rFonts w:ascii="Times New Roman" w:hAnsi="Times New Roman" w:cs="Times New Roman"/>
          <w:color w:val="000000"/>
          <w:sz w:val="24"/>
          <w:szCs w:val="24"/>
        </w:rPr>
        <w:t xml:space="preserve"> significant brunch of the GDP.</w:t>
      </w:r>
    </w:p>
    <w:p w:rsidR="009A59D5" w:rsidRPr="00B06A24" w:rsidRDefault="009A59D5" w:rsidP="00B06A24">
      <w:pPr>
        <w:spacing w:after="0" w:line="480" w:lineRule="auto"/>
        <w:ind w:firstLine="540"/>
        <w:jc w:val="both"/>
        <w:rPr>
          <w:rFonts w:ascii="Times New Roman" w:hAnsi="Times New Roman" w:cs="Times New Roman"/>
          <w:color w:val="000000"/>
          <w:sz w:val="24"/>
          <w:szCs w:val="24"/>
        </w:rPr>
      </w:pPr>
    </w:p>
    <w:p w:rsidR="00C2213E" w:rsidRPr="00DE7930" w:rsidRDefault="00FB3542" w:rsidP="00B06A24">
      <w:pPr>
        <w:spacing w:after="0" w:line="240" w:lineRule="auto"/>
        <w:rPr>
          <w:rFonts w:ascii="Times New Roman" w:hAnsi="Times New Roman" w:cs="Times New Roman"/>
          <w:i/>
          <w:color w:val="000000"/>
          <w:sz w:val="24"/>
          <w:szCs w:val="24"/>
        </w:rPr>
      </w:pPr>
      <w:r w:rsidRPr="00DE7930">
        <w:rPr>
          <w:rFonts w:ascii="Times New Roman" w:hAnsi="Times New Roman" w:cs="Times New Roman"/>
          <w:i/>
          <w:noProof/>
          <w:color w:val="000000"/>
          <w:sz w:val="24"/>
          <w:szCs w:val="24"/>
        </w:rPr>
        <w:drawing>
          <wp:inline distT="0" distB="0" distL="0" distR="0" wp14:anchorId="416FDEE1" wp14:editId="7BC64789">
            <wp:extent cx="5733415" cy="3144190"/>
            <wp:effectExtent l="0" t="0" r="63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482A" w:rsidRPr="00DE7930" w:rsidRDefault="00E85A7A" w:rsidP="00B06A24">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w:t>
      </w:r>
      <w:r w:rsidR="00334237">
        <w:rPr>
          <w:rFonts w:ascii="Times New Roman" w:hAnsi="Times New Roman" w:cs="Times New Roman"/>
          <w:i/>
          <w:color w:val="000000"/>
          <w:sz w:val="24"/>
          <w:szCs w:val="24"/>
        </w:rPr>
        <w:t xml:space="preserve"> 9</w:t>
      </w:r>
    </w:p>
    <w:p w:rsidR="00DE7930" w:rsidRPr="00DE7930" w:rsidRDefault="00E85A7A" w:rsidP="00B06A24">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w:t>
      </w:r>
      <w:r w:rsidR="00DE7930" w:rsidRPr="00DE7930">
        <w:rPr>
          <w:rFonts w:ascii="Times New Roman" w:hAnsi="Times New Roman" w:cs="Times New Roman"/>
          <w:i/>
          <w:color w:val="000000"/>
          <w:sz w:val="24"/>
          <w:szCs w:val="24"/>
        </w:rPr>
        <w:t xml:space="preserve"> RA National Statistics Service</w:t>
      </w:r>
      <w:r w:rsidR="001C4E0E">
        <w:rPr>
          <w:rFonts w:ascii="Times New Roman" w:hAnsi="Times New Roman" w:cs="Times New Roman"/>
          <w:i/>
          <w:color w:val="000000"/>
          <w:sz w:val="24"/>
          <w:szCs w:val="24"/>
        </w:rPr>
        <w:t>, Authors calculations</w:t>
      </w:r>
    </w:p>
    <w:p w:rsidR="00DE7930" w:rsidRPr="00DE7930" w:rsidRDefault="00DE7930" w:rsidP="00DE7930">
      <w:pPr>
        <w:spacing w:after="0" w:line="480" w:lineRule="auto"/>
        <w:ind w:firstLine="540"/>
        <w:jc w:val="both"/>
        <w:rPr>
          <w:rFonts w:ascii="Times New Roman" w:hAnsi="Times New Roman" w:cs="Times New Roman"/>
          <w:i/>
          <w:color w:val="000000"/>
          <w:sz w:val="24"/>
          <w:szCs w:val="24"/>
        </w:rPr>
      </w:pPr>
    </w:p>
    <w:p w:rsidR="001F1641" w:rsidRPr="00DE7930" w:rsidRDefault="00334237" w:rsidP="00DE7930">
      <w:pPr>
        <w:pStyle w:val="NormalWeb"/>
        <w:shd w:val="clear" w:color="auto" w:fill="FFFFFF"/>
        <w:spacing w:before="0" w:beforeAutospacing="0" w:after="0" w:afterAutospacing="0" w:line="480" w:lineRule="auto"/>
        <w:ind w:firstLine="540"/>
        <w:jc w:val="both"/>
      </w:pPr>
      <w:r>
        <w:t>F</w:t>
      </w:r>
      <w:r w:rsidR="00F76D78" w:rsidRPr="00DE7930">
        <w:t>igure</w:t>
      </w:r>
      <w:r>
        <w:t xml:space="preserve"> 9</w:t>
      </w:r>
      <w:r w:rsidR="00F76D78" w:rsidRPr="00DE7930">
        <w:t xml:space="preserve"> shows</w:t>
      </w:r>
      <w:r w:rsidR="001F1641" w:rsidRPr="00DE7930">
        <w:t xml:space="preserve"> the breakdown of the industry sector</w:t>
      </w:r>
      <w:r w:rsidR="00F76D78" w:rsidRPr="00DE7930">
        <w:t>.</w:t>
      </w:r>
      <w:r w:rsidR="001F1641" w:rsidRPr="00DE7930">
        <w:rPr>
          <w:color w:val="000000"/>
        </w:rPr>
        <w:t xml:space="preserve"> </w:t>
      </w:r>
      <w:r w:rsidR="001F1641" w:rsidRPr="00DE7930">
        <w:t>These are not all but the most contributing brunches of the sector. After the food product manufacturing mining comes next in terms of contribution to the industry sector.</w:t>
      </w:r>
      <w:r w:rsidR="00F76D78" w:rsidRPr="00DE7930">
        <w:t xml:space="preserve"> The sector is export oriented and the three leading productions are the ones most exported. Food product, mining product and beverages contribute to more than 75% of the total export.</w:t>
      </w:r>
      <w:r w:rsidR="00E85A7A" w:rsidRPr="00DE7930">
        <w:t xml:space="preserve"> Consisting mostly of resource-intensive products, exports account for more than 11% of the GDP. The average annual export growth for metal mining between 2003 and 2010 was a staggering 29%, average growth for metallurgical production during the same time period was 21%. Aside from the productivity and export growth, mining sector also contributes in tax revenue, FDI and employment opportunity.</w:t>
      </w:r>
    </w:p>
    <w:p w:rsidR="00A1482A" w:rsidRPr="00DE7930" w:rsidRDefault="00A1482A" w:rsidP="00DE7930">
      <w:pPr>
        <w:spacing w:after="0" w:line="480" w:lineRule="auto"/>
        <w:ind w:firstLine="540"/>
        <w:jc w:val="both"/>
        <w:rPr>
          <w:rFonts w:ascii="Times New Roman" w:hAnsi="Times New Roman" w:cs="Times New Roman"/>
          <w:i/>
          <w:color w:val="000000"/>
          <w:sz w:val="24"/>
          <w:szCs w:val="24"/>
        </w:rPr>
      </w:pPr>
    </w:p>
    <w:p w:rsidR="00FB3542" w:rsidRPr="00DE7930" w:rsidRDefault="00A1482A" w:rsidP="00451833">
      <w:pPr>
        <w:spacing w:after="0" w:line="480" w:lineRule="auto"/>
        <w:jc w:val="both"/>
        <w:rPr>
          <w:rFonts w:ascii="Times New Roman" w:hAnsi="Times New Roman" w:cs="Times New Roman"/>
          <w:color w:val="000000"/>
          <w:sz w:val="24"/>
          <w:szCs w:val="24"/>
        </w:rPr>
      </w:pPr>
      <w:r w:rsidRPr="00DE7930">
        <w:rPr>
          <w:rFonts w:ascii="Times New Roman" w:hAnsi="Times New Roman" w:cs="Times New Roman"/>
          <w:noProof/>
          <w:color w:val="000000"/>
          <w:sz w:val="24"/>
          <w:szCs w:val="24"/>
        </w:rPr>
        <w:lastRenderedPageBreak/>
        <w:drawing>
          <wp:inline distT="0" distB="0" distL="0" distR="0" wp14:anchorId="00B33EE5" wp14:editId="77808EDC">
            <wp:extent cx="5730949" cy="4019107"/>
            <wp:effectExtent l="0" t="0" r="3175" b="6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64D2" w:rsidRPr="00DE7930" w:rsidRDefault="00E85A7A" w:rsidP="00451833">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Figure</w:t>
      </w:r>
      <w:r w:rsidR="00334237">
        <w:rPr>
          <w:rFonts w:ascii="Times New Roman" w:hAnsi="Times New Roman" w:cs="Times New Roman"/>
          <w:i/>
          <w:color w:val="000000"/>
          <w:sz w:val="24"/>
          <w:szCs w:val="24"/>
        </w:rPr>
        <w:t xml:space="preserve"> 10</w:t>
      </w:r>
    </w:p>
    <w:p w:rsidR="00E85A7A" w:rsidRPr="00DE7930" w:rsidRDefault="00E85A7A" w:rsidP="00451833">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Source</w:t>
      </w:r>
      <w:r w:rsidR="00DE7930" w:rsidRPr="00DE7930">
        <w:rPr>
          <w:rFonts w:ascii="Times New Roman" w:hAnsi="Times New Roman" w:cs="Times New Roman"/>
          <w:i/>
          <w:color w:val="000000"/>
          <w:sz w:val="24"/>
          <w:szCs w:val="24"/>
        </w:rPr>
        <w:t xml:space="preserve"> RA National Statistics Service</w:t>
      </w:r>
      <w:r w:rsidR="001C4E0E">
        <w:rPr>
          <w:rFonts w:ascii="Times New Roman" w:hAnsi="Times New Roman" w:cs="Times New Roman"/>
          <w:i/>
          <w:color w:val="000000"/>
          <w:sz w:val="24"/>
          <w:szCs w:val="24"/>
        </w:rPr>
        <w:t>, Authors calculations</w:t>
      </w:r>
    </w:p>
    <w:p w:rsidR="00E85A7A" w:rsidRPr="00DE7930" w:rsidRDefault="00E85A7A" w:rsidP="00DE7930">
      <w:pPr>
        <w:spacing w:after="0" w:line="480" w:lineRule="auto"/>
        <w:ind w:firstLine="540"/>
        <w:jc w:val="both"/>
        <w:rPr>
          <w:rFonts w:ascii="Times New Roman" w:hAnsi="Times New Roman" w:cs="Times New Roman"/>
          <w:i/>
          <w:color w:val="000000"/>
          <w:sz w:val="24"/>
          <w:szCs w:val="24"/>
        </w:rPr>
      </w:pPr>
    </w:p>
    <w:p w:rsidR="00E85A7A" w:rsidRPr="00DE7930" w:rsidRDefault="00334237" w:rsidP="00CD57C6">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00F47CEB" w:rsidRPr="00DE7930">
        <w:rPr>
          <w:rFonts w:ascii="Times New Roman" w:hAnsi="Times New Roman" w:cs="Times New Roman"/>
          <w:color w:val="000000"/>
          <w:sz w:val="24"/>
          <w:szCs w:val="24"/>
        </w:rPr>
        <w:t>igure</w:t>
      </w:r>
      <w:r>
        <w:rPr>
          <w:rFonts w:ascii="Times New Roman" w:hAnsi="Times New Roman" w:cs="Times New Roman"/>
          <w:color w:val="000000"/>
          <w:sz w:val="24"/>
          <w:szCs w:val="24"/>
        </w:rPr>
        <w:t xml:space="preserve"> 10</w:t>
      </w:r>
      <w:r w:rsidR="00F47CEB" w:rsidRPr="00DE7930">
        <w:rPr>
          <w:rFonts w:ascii="Times New Roman" w:hAnsi="Times New Roman" w:cs="Times New Roman"/>
          <w:color w:val="000000"/>
          <w:sz w:val="24"/>
          <w:szCs w:val="24"/>
        </w:rPr>
        <w:t xml:space="preserve"> shows percent of employee into a specific sector as a percentage of the total labor in the province. Mining sector is labor-intensive and generates large employment opportunities</w:t>
      </w:r>
      <w:r w:rsidR="006764D2" w:rsidRPr="00DE7930">
        <w:rPr>
          <w:rFonts w:ascii="Times New Roman" w:hAnsi="Times New Roman" w:cs="Times New Roman"/>
          <w:color w:val="000000"/>
          <w:sz w:val="24"/>
          <w:szCs w:val="24"/>
        </w:rPr>
        <w:t>, thus cont</w:t>
      </w:r>
      <w:r w:rsidR="00E85A7A" w:rsidRPr="00DE7930">
        <w:rPr>
          <w:rFonts w:ascii="Times New Roman" w:hAnsi="Times New Roman" w:cs="Times New Roman"/>
          <w:color w:val="000000"/>
          <w:sz w:val="24"/>
          <w:szCs w:val="24"/>
        </w:rPr>
        <w:t>ributing to the economic growth</w:t>
      </w:r>
      <w:r w:rsidR="00F47CEB" w:rsidRPr="00DE7930">
        <w:rPr>
          <w:rFonts w:ascii="Times New Roman" w:hAnsi="Times New Roman" w:cs="Times New Roman"/>
          <w:color w:val="000000"/>
          <w:sz w:val="24"/>
          <w:szCs w:val="24"/>
        </w:rPr>
        <w:t>. Syunik and Gegharkunik provinces owe most of their employment to the mining sector. Mining contributes greatly t</w:t>
      </w:r>
      <w:r>
        <w:rPr>
          <w:rFonts w:ascii="Times New Roman" w:hAnsi="Times New Roman" w:cs="Times New Roman"/>
          <w:color w:val="000000"/>
          <w:sz w:val="24"/>
          <w:szCs w:val="24"/>
        </w:rPr>
        <w:t>o the Lori and Tavush provinces</w:t>
      </w:r>
      <w:r w:rsidR="006764D2" w:rsidRPr="00DE7930">
        <w:rPr>
          <w:rFonts w:ascii="Times New Roman" w:hAnsi="Times New Roman" w:cs="Times New Roman"/>
          <w:color w:val="000000"/>
          <w:sz w:val="24"/>
          <w:szCs w:val="24"/>
        </w:rPr>
        <w:t xml:space="preserve">. Since the sector generates employment in provinces, rather than the capital, there is indisputable evidence that the urban area owes most of its employment, economic activity and infrastructure development to this sector. </w:t>
      </w:r>
      <w:r w:rsidR="00F76D78" w:rsidRPr="00DE7930">
        <w:rPr>
          <w:rFonts w:ascii="Times New Roman" w:hAnsi="Times New Roman" w:cs="Times New Roman"/>
          <w:color w:val="000000"/>
          <w:sz w:val="24"/>
          <w:szCs w:val="24"/>
        </w:rPr>
        <w:t>This is mostly due to foreign direct investment and foreign ownership of mining companies</w:t>
      </w:r>
      <w:r w:rsidR="00E85A7A" w:rsidRPr="00DE7930">
        <w:rPr>
          <w:rFonts w:ascii="Times New Roman" w:hAnsi="Times New Roman" w:cs="Times New Roman"/>
          <w:color w:val="000000"/>
          <w:sz w:val="24"/>
          <w:szCs w:val="24"/>
        </w:rPr>
        <w:t>, not to mention high tax revenu</w:t>
      </w:r>
      <w:r w:rsidR="00E85A7A" w:rsidRPr="002C51E3">
        <w:rPr>
          <w:rFonts w:ascii="Times New Roman" w:hAnsi="Times New Roman" w:cs="Times New Roman"/>
          <w:sz w:val="24"/>
          <w:szCs w:val="24"/>
        </w:rPr>
        <w:t>e</w:t>
      </w:r>
      <w:r w:rsidR="00CD57C6">
        <w:rPr>
          <w:rFonts w:ascii="Times New Roman" w:hAnsi="Times New Roman" w:cs="Times New Roman"/>
          <w:sz w:val="24"/>
          <w:szCs w:val="24"/>
        </w:rPr>
        <w:t xml:space="preserve"> </w:t>
      </w:r>
      <w:r w:rsidR="00626315" w:rsidRPr="00626315">
        <w:rPr>
          <w:rFonts w:ascii="Times New Roman" w:hAnsi="Times New Roman" w:cs="Times New Roman"/>
          <w:sz w:val="24"/>
          <w:szCs w:val="24"/>
        </w:rPr>
        <w:t>(</w:t>
      </w:r>
      <w:r w:rsidR="00CD57C6">
        <w:rPr>
          <w:rFonts w:ascii="Times New Roman" w:hAnsi="Times New Roman" w:cs="Times New Roman"/>
          <w:sz w:val="24"/>
          <w:szCs w:val="24"/>
        </w:rPr>
        <w:t>new mining code requirement</w:t>
      </w:r>
      <w:r w:rsidR="00CE7DB9">
        <w:rPr>
          <w:rFonts w:ascii="Times New Roman" w:hAnsi="Times New Roman" w:cs="Times New Roman"/>
          <w:sz w:val="24"/>
          <w:szCs w:val="24"/>
        </w:rPr>
        <w:t>,</w:t>
      </w:r>
      <w:r w:rsidR="00CD57C6">
        <w:rPr>
          <w:rFonts w:ascii="Times New Roman" w:hAnsi="Times New Roman" w:cs="Times New Roman"/>
          <w:sz w:val="24"/>
          <w:szCs w:val="24"/>
        </w:rPr>
        <w:t xml:space="preserve"> </w:t>
      </w:r>
      <w:r w:rsidR="00626315" w:rsidRPr="00626315">
        <w:rPr>
          <w:rFonts w:ascii="Times New Roman" w:hAnsi="Times New Roman" w:cs="Times New Roman"/>
          <w:sz w:val="24"/>
          <w:szCs w:val="24"/>
        </w:rPr>
        <w:t>RA and World Bank 2011)</w:t>
      </w:r>
      <w:r w:rsidR="00F76D78" w:rsidRPr="002C51E3">
        <w:rPr>
          <w:rFonts w:ascii="Times New Roman" w:hAnsi="Times New Roman" w:cs="Times New Roman"/>
          <w:sz w:val="24"/>
          <w:szCs w:val="24"/>
        </w:rPr>
        <w:t xml:space="preserve">. </w:t>
      </w:r>
      <w:r>
        <w:rPr>
          <w:rFonts w:ascii="Times New Roman" w:hAnsi="Times New Roman" w:cs="Times New Roman"/>
          <w:color w:val="000000"/>
          <w:sz w:val="24"/>
          <w:szCs w:val="24"/>
        </w:rPr>
        <w:t>The following F</w:t>
      </w:r>
      <w:r w:rsidR="00F76D78" w:rsidRPr="00DE7930">
        <w:rPr>
          <w:rFonts w:ascii="Times New Roman" w:hAnsi="Times New Roman" w:cs="Times New Roman"/>
          <w:color w:val="000000"/>
          <w:sz w:val="24"/>
          <w:szCs w:val="24"/>
        </w:rPr>
        <w:t>igure</w:t>
      </w:r>
      <w:r>
        <w:rPr>
          <w:rFonts w:ascii="Times New Roman" w:hAnsi="Times New Roman" w:cs="Times New Roman"/>
          <w:color w:val="000000"/>
          <w:sz w:val="24"/>
          <w:szCs w:val="24"/>
        </w:rPr>
        <w:t xml:space="preserve"> 11</w:t>
      </w:r>
      <w:r w:rsidR="00F76D78" w:rsidRPr="00DE7930">
        <w:rPr>
          <w:rFonts w:ascii="Times New Roman" w:hAnsi="Times New Roman" w:cs="Times New Roman"/>
          <w:color w:val="000000"/>
          <w:sz w:val="24"/>
          <w:szCs w:val="24"/>
        </w:rPr>
        <w:t xml:space="preserve"> shows FDI inflow into sectors of the economy.</w:t>
      </w:r>
      <w:r w:rsidR="002C51E3" w:rsidRPr="002C51E3">
        <w:rPr>
          <w:rStyle w:val="FootnoteReference"/>
          <w:rFonts w:ascii="Times New Roman" w:hAnsi="Times New Roman" w:cs="Times New Roman"/>
          <w:sz w:val="24"/>
          <w:szCs w:val="24"/>
        </w:rPr>
        <w:t xml:space="preserve"> </w:t>
      </w:r>
      <w:r w:rsidR="002C51E3" w:rsidRPr="002C51E3">
        <w:rPr>
          <w:rStyle w:val="FootnoteReference"/>
          <w:rFonts w:ascii="Times New Roman" w:hAnsi="Times New Roman" w:cs="Times New Roman"/>
          <w:sz w:val="24"/>
          <w:szCs w:val="24"/>
        </w:rPr>
        <w:footnoteReference w:id="6"/>
      </w:r>
    </w:p>
    <w:p w:rsidR="006764D2" w:rsidRPr="00DE7930" w:rsidRDefault="006764D2" w:rsidP="00451833">
      <w:pPr>
        <w:spacing w:after="0" w:line="480" w:lineRule="auto"/>
        <w:jc w:val="both"/>
        <w:rPr>
          <w:rFonts w:ascii="Times New Roman" w:hAnsi="Times New Roman" w:cs="Times New Roman"/>
          <w:iCs/>
          <w:color w:val="000000"/>
          <w:sz w:val="24"/>
          <w:szCs w:val="24"/>
        </w:rPr>
      </w:pPr>
      <w:r w:rsidRPr="00DE7930">
        <w:rPr>
          <w:rFonts w:ascii="Times New Roman" w:hAnsi="Times New Roman" w:cs="Times New Roman"/>
          <w:iCs/>
          <w:noProof/>
          <w:color w:val="000000"/>
          <w:sz w:val="24"/>
          <w:szCs w:val="24"/>
        </w:rPr>
        <w:lastRenderedPageBreak/>
        <w:drawing>
          <wp:inline distT="0" distB="0" distL="0" distR="0" wp14:anchorId="19F58C8E" wp14:editId="7C1DE18C">
            <wp:extent cx="5730949" cy="4678326"/>
            <wp:effectExtent l="0" t="0" r="22225" b="2730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64D2" w:rsidRPr="00DE7930" w:rsidRDefault="006764D2" w:rsidP="00451833">
      <w:pPr>
        <w:pStyle w:val="NormalWeb"/>
        <w:shd w:val="clear" w:color="auto" w:fill="FFFFFF"/>
        <w:spacing w:before="0" w:beforeAutospacing="0" w:after="0" w:afterAutospacing="0"/>
        <w:ind w:firstLine="547"/>
        <w:jc w:val="right"/>
        <w:rPr>
          <w:i/>
          <w:color w:val="000000"/>
        </w:rPr>
      </w:pPr>
      <w:r w:rsidRPr="00DE7930">
        <w:rPr>
          <w:i/>
          <w:color w:val="000000"/>
        </w:rPr>
        <w:t xml:space="preserve">Figure </w:t>
      </w:r>
      <w:r w:rsidR="00334237">
        <w:rPr>
          <w:i/>
          <w:color w:val="000000"/>
        </w:rPr>
        <w:t>11</w:t>
      </w:r>
    </w:p>
    <w:p w:rsidR="006764D2" w:rsidRPr="00DE7930" w:rsidRDefault="006764D2" w:rsidP="00451833">
      <w:pPr>
        <w:pStyle w:val="NormalWeb"/>
        <w:shd w:val="clear" w:color="auto" w:fill="FFFFFF"/>
        <w:spacing w:before="0" w:beforeAutospacing="0" w:after="0" w:afterAutospacing="0"/>
        <w:ind w:firstLine="547"/>
        <w:jc w:val="right"/>
        <w:rPr>
          <w:i/>
          <w:color w:val="000000"/>
        </w:rPr>
      </w:pPr>
      <w:r w:rsidRPr="00DE7930">
        <w:rPr>
          <w:i/>
          <w:color w:val="000000"/>
        </w:rPr>
        <w:t>Source</w:t>
      </w:r>
      <w:r w:rsidR="00DE7930" w:rsidRPr="00DE7930">
        <w:rPr>
          <w:i/>
          <w:color w:val="000000"/>
        </w:rPr>
        <w:t xml:space="preserve"> RA National Statistics Service</w:t>
      </w:r>
      <w:r w:rsidR="001C4E0E">
        <w:rPr>
          <w:i/>
          <w:color w:val="000000"/>
        </w:rPr>
        <w:t>, Authors calculations</w:t>
      </w:r>
    </w:p>
    <w:p w:rsidR="006764D2" w:rsidRPr="00DE7930" w:rsidRDefault="006764D2" w:rsidP="00DE7930">
      <w:pPr>
        <w:pStyle w:val="NormalWeb"/>
        <w:shd w:val="clear" w:color="auto" w:fill="FFFFFF"/>
        <w:spacing w:before="0" w:beforeAutospacing="0" w:after="0" w:afterAutospacing="0" w:line="480" w:lineRule="auto"/>
        <w:ind w:firstLine="540"/>
        <w:jc w:val="both"/>
        <w:rPr>
          <w:i/>
          <w:color w:val="000000"/>
        </w:rPr>
      </w:pPr>
    </w:p>
    <w:p w:rsidR="006764D2" w:rsidRDefault="006764D2" w:rsidP="00DE7930">
      <w:pPr>
        <w:pStyle w:val="NormalWeb"/>
        <w:shd w:val="clear" w:color="auto" w:fill="FFFFFF"/>
        <w:spacing w:before="0" w:beforeAutospacing="0" w:after="0" w:afterAutospacing="0" w:line="480" w:lineRule="auto"/>
        <w:ind w:firstLine="540"/>
        <w:jc w:val="both"/>
        <w:rPr>
          <w:color w:val="000000"/>
        </w:rPr>
      </w:pPr>
      <w:r w:rsidRPr="00DE7930">
        <w:rPr>
          <w:color w:val="000000"/>
        </w:rPr>
        <w:t xml:space="preserve">The main sectors for the FDI are mining, telecommunications and transport. The IT and Scientific research investment inflow is so inadequately small for a developing country. </w:t>
      </w:r>
      <w:r w:rsidRPr="00DE7930">
        <w:t>Mining</w:t>
      </w:r>
      <w:r w:rsidRPr="00DE7930">
        <w:rPr>
          <w:color w:val="000000"/>
        </w:rPr>
        <w:t xml:space="preserve"> sector brought 26.6% of the total FDI in the year 2012.</w:t>
      </w:r>
      <w:r w:rsidR="00F76D78" w:rsidRPr="00DE7930">
        <w:rPr>
          <w:color w:val="000000"/>
        </w:rPr>
        <w:t xml:space="preserve"> This large inflow of foreign currency into the country is a potential cause of Dutch Disease. </w:t>
      </w:r>
    </w:p>
    <w:p w:rsidR="00DD6536" w:rsidRPr="00DE7930" w:rsidRDefault="00285DAF" w:rsidP="00DE7930">
      <w:pPr>
        <w:spacing w:after="0" w:line="480" w:lineRule="auto"/>
        <w:ind w:firstLine="540"/>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The </w:t>
      </w:r>
      <w:r w:rsidR="00334237">
        <w:rPr>
          <w:rFonts w:ascii="Times New Roman" w:hAnsi="Times New Roman" w:cs="Times New Roman"/>
          <w:iCs/>
          <w:color w:val="000000"/>
          <w:sz w:val="24"/>
          <w:szCs w:val="24"/>
        </w:rPr>
        <w:t>following two figures, Figure 12 and Figure 13</w:t>
      </w:r>
      <w:r>
        <w:rPr>
          <w:rFonts w:ascii="Times New Roman" w:hAnsi="Times New Roman" w:cs="Times New Roman"/>
          <w:iCs/>
          <w:color w:val="000000"/>
          <w:sz w:val="24"/>
          <w:szCs w:val="24"/>
        </w:rPr>
        <w:t xml:space="preserve">, show a comparison of trends in remittances and trend in mining production, both combined with GDP annual growth. </w:t>
      </w:r>
      <w:r w:rsidR="00480997">
        <w:rPr>
          <w:rFonts w:ascii="Times New Roman" w:hAnsi="Times New Roman" w:cs="Times New Roman"/>
          <w:iCs/>
          <w:color w:val="000000"/>
          <w:sz w:val="24"/>
          <w:szCs w:val="24"/>
        </w:rPr>
        <w:t>The structure of remittances changed over the years. In 2001 and 2002 100% of remittances were short-term migrants’ cash flows, yet by 2010 4% of remittances were from long-term migrants.</w:t>
      </w:r>
    </w:p>
    <w:p w:rsidR="00DD6536" w:rsidRPr="00DE7930" w:rsidRDefault="0062701B" w:rsidP="0062701B">
      <w:pPr>
        <w:spacing w:after="0" w:line="480" w:lineRule="auto"/>
        <w:jc w:val="both"/>
        <w:rPr>
          <w:rFonts w:ascii="Times New Roman" w:hAnsi="Times New Roman" w:cs="Times New Roman"/>
          <w:iCs/>
          <w:color w:val="000000"/>
          <w:sz w:val="24"/>
          <w:szCs w:val="24"/>
        </w:rPr>
      </w:pPr>
      <w:r>
        <w:rPr>
          <w:noProof/>
        </w:rPr>
        <w:lastRenderedPageBreak/>
        <w:drawing>
          <wp:inline distT="0" distB="0" distL="0" distR="0" wp14:anchorId="2162C062" wp14:editId="647B2121">
            <wp:extent cx="5730949" cy="3136605"/>
            <wp:effectExtent l="0" t="0" r="22225"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6536" w:rsidRPr="00DE7930" w:rsidRDefault="00595510" w:rsidP="00451833">
      <w:pPr>
        <w:spacing w:after="0" w:line="240" w:lineRule="auto"/>
        <w:ind w:firstLine="547"/>
        <w:jc w:val="right"/>
        <w:rPr>
          <w:rFonts w:ascii="Times New Roman" w:hAnsi="Times New Roman" w:cs="Times New Roman"/>
          <w:i/>
          <w:color w:val="000000"/>
          <w:sz w:val="24"/>
          <w:szCs w:val="24"/>
        </w:rPr>
      </w:pPr>
      <w:r>
        <w:rPr>
          <w:rFonts w:ascii="Times New Roman" w:hAnsi="Times New Roman" w:cs="Times New Roman"/>
          <w:i/>
          <w:color w:val="000000"/>
          <w:sz w:val="24"/>
          <w:szCs w:val="24"/>
        </w:rPr>
        <w:t>Figure</w:t>
      </w:r>
      <w:r w:rsidR="00334237">
        <w:rPr>
          <w:rFonts w:ascii="Times New Roman" w:hAnsi="Times New Roman" w:cs="Times New Roman"/>
          <w:i/>
          <w:color w:val="000000"/>
          <w:sz w:val="24"/>
          <w:szCs w:val="24"/>
        </w:rPr>
        <w:t xml:space="preserve"> 12</w:t>
      </w:r>
    </w:p>
    <w:p w:rsidR="00DD6536" w:rsidRDefault="00DD6536" w:rsidP="00451833">
      <w:pPr>
        <w:spacing w:after="0" w:line="240" w:lineRule="auto"/>
        <w:ind w:firstLine="547"/>
        <w:jc w:val="right"/>
        <w:rPr>
          <w:rFonts w:ascii="Times New Roman" w:hAnsi="Times New Roman" w:cs="Times New Roman"/>
          <w:i/>
          <w:color w:val="000000"/>
          <w:sz w:val="24"/>
          <w:szCs w:val="24"/>
        </w:rPr>
      </w:pPr>
      <w:r w:rsidRPr="00DE7930">
        <w:rPr>
          <w:rFonts w:ascii="Times New Roman" w:hAnsi="Times New Roman" w:cs="Times New Roman"/>
          <w:i/>
          <w:color w:val="000000"/>
          <w:sz w:val="24"/>
          <w:szCs w:val="24"/>
        </w:rPr>
        <w:t xml:space="preserve">Source </w:t>
      </w:r>
      <w:r w:rsidR="00285DAF">
        <w:rPr>
          <w:rFonts w:ascii="Times New Roman" w:hAnsi="Times New Roman" w:cs="Times New Roman"/>
          <w:i/>
          <w:color w:val="000000"/>
          <w:sz w:val="24"/>
          <w:szCs w:val="24"/>
        </w:rPr>
        <w:t>CBA</w:t>
      </w:r>
      <w:r w:rsidR="00DA4E09">
        <w:rPr>
          <w:rFonts w:ascii="Times New Roman" w:hAnsi="Times New Roman" w:cs="Times New Roman"/>
          <w:i/>
          <w:color w:val="000000"/>
          <w:sz w:val="24"/>
          <w:szCs w:val="24"/>
        </w:rPr>
        <w:t xml:space="preserve"> Statistics</w:t>
      </w:r>
      <w:r w:rsidR="001C4E0E">
        <w:rPr>
          <w:rFonts w:ascii="Times New Roman" w:hAnsi="Times New Roman" w:cs="Times New Roman"/>
          <w:i/>
          <w:color w:val="000000"/>
          <w:sz w:val="24"/>
          <w:szCs w:val="24"/>
        </w:rPr>
        <w:t>, Authors calculations</w:t>
      </w:r>
    </w:p>
    <w:p w:rsidR="00F30327" w:rsidRDefault="00F30327" w:rsidP="00451833">
      <w:pPr>
        <w:spacing w:after="0" w:line="240" w:lineRule="auto"/>
        <w:ind w:firstLine="547"/>
        <w:jc w:val="right"/>
        <w:rPr>
          <w:rFonts w:ascii="Times New Roman" w:hAnsi="Times New Roman" w:cs="Times New Roman"/>
          <w:i/>
          <w:color w:val="000000"/>
          <w:sz w:val="24"/>
          <w:szCs w:val="24"/>
        </w:rPr>
      </w:pPr>
    </w:p>
    <w:p w:rsidR="00F30327" w:rsidRPr="00DE7930" w:rsidRDefault="00F30327" w:rsidP="00451833">
      <w:pPr>
        <w:spacing w:after="0" w:line="240" w:lineRule="auto"/>
        <w:ind w:firstLine="547"/>
        <w:jc w:val="right"/>
        <w:rPr>
          <w:rFonts w:ascii="Times New Roman" w:hAnsi="Times New Roman" w:cs="Times New Roman"/>
          <w:i/>
          <w:color w:val="000000"/>
          <w:sz w:val="24"/>
          <w:szCs w:val="24"/>
        </w:rPr>
      </w:pPr>
    </w:p>
    <w:p w:rsidR="00FB3542" w:rsidRPr="00DE7930" w:rsidRDefault="00DF6954" w:rsidP="00F30327">
      <w:pPr>
        <w:spacing w:after="0" w:line="480" w:lineRule="auto"/>
        <w:jc w:val="both"/>
        <w:rPr>
          <w:rFonts w:ascii="Times New Roman" w:hAnsi="Times New Roman" w:cs="Times New Roman"/>
          <w:color w:val="000000"/>
          <w:sz w:val="24"/>
          <w:szCs w:val="24"/>
        </w:rPr>
      </w:pPr>
      <w:r>
        <w:rPr>
          <w:noProof/>
        </w:rPr>
        <w:drawing>
          <wp:inline distT="0" distB="0" distL="0" distR="0" wp14:anchorId="62B2CB4C" wp14:editId="002E1A6D">
            <wp:extent cx="5733415" cy="2978191"/>
            <wp:effectExtent l="0" t="0" r="63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0327" w:rsidRPr="006D3CF7" w:rsidRDefault="00334237" w:rsidP="00F30327">
      <w:pPr>
        <w:spacing w:after="0" w:line="240" w:lineRule="auto"/>
        <w:ind w:firstLine="547"/>
        <w:jc w:val="right"/>
        <w:rPr>
          <w:rFonts w:ascii="Times New Roman" w:hAnsi="Times New Roman" w:cs="Times New Roman"/>
          <w:i/>
          <w:sz w:val="24"/>
          <w:szCs w:val="24"/>
        </w:rPr>
      </w:pPr>
      <w:r>
        <w:rPr>
          <w:rFonts w:ascii="Times New Roman" w:hAnsi="Times New Roman" w:cs="Times New Roman"/>
          <w:i/>
          <w:sz w:val="24"/>
          <w:szCs w:val="24"/>
        </w:rPr>
        <w:t>Figure 13</w:t>
      </w:r>
    </w:p>
    <w:p w:rsidR="00F30327" w:rsidRDefault="00285DAF" w:rsidP="00F30327">
      <w:pPr>
        <w:spacing w:after="0" w:line="240" w:lineRule="auto"/>
        <w:ind w:firstLine="547"/>
        <w:jc w:val="right"/>
        <w:rPr>
          <w:rFonts w:ascii="Times New Roman" w:hAnsi="Times New Roman" w:cs="Times New Roman"/>
          <w:i/>
          <w:sz w:val="24"/>
          <w:szCs w:val="24"/>
        </w:rPr>
      </w:pPr>
      <w:r w:rsidRPr="006D3CF7">
        <w:rPr>
          <w:rFonts w:ascii="Times New Roman" w:hAnsi="Times New Roman" w:cs="Times New Roman"/>
          <w:i/>
          <w:sz w:val="24"/>
          <w:szCs w:val="24"/>
        </w:rPr>
        <w:t>Source CBA</w:t>
      </w:r>
      <w:r w:rsidR="00DA4E09">
        <w:rPr>
          <w:rFonts w:ascii="Times New Roman" w:hAnsi="Times New Roman" w:cs="Times New Roman"/>
          <w:i/>
          <w:sz w:val="24"/>
          <w:szCs w:val="24"/>
        </w:rPr>
        <w:t xml:space="preserve"> Statistics</w:t>
      </w:r>
      <w:r w:rsidR="001C4E0E">
        <w:rPr>
          <w:rFonts w:ascii="Times New Roman" w:hAnsi="Times New Roman" w:cs="Times New Roman"/>
          <w:i/>
          <w:sz w:val="24"/>
          <w:szCs w:val="24"/>
        </w:rPr>
        <w:t xml:space="preserve">, </w:t>
      </w:r>
      <w:r w:rsidR="001C4E0E">
        <w:rPr>
          <w:rFonts w:ascii="Times New Roman" w:hAnsi="Times New Roman" w:cs="Times New Roman"/>
          <w:i/>
          <w:color w:val="000000"/>
          <w:sz w:val="24"/>
          <w:szCs w:val="24"/>
        </w:rPr>
        <w:t>Authors calculations</w:t>
      </w:r>
    </w:p>
    <w:p w:rsidR="00DA4E09" w:rsidRPr="006D3CF7" w:rsidRDefault="00DA4E09" w:rsidP="00F30327">
      <w:pPr>
        <w:spacing w:after="0" w:line="240" w:lineRule="auto"/>
        <w:ind w:firstLine="547"/>
        <w:jc w:val="right"/>
        <w:rPr>
          <w:rFonts w:ascii="Times New Roman" w:hAnsi="Times New Roman" w:cs="Times New Roman"/>
          <w:i/>
          <w:sz w:val="24"/>
          <w:szCs w:val="24"/>
        </w:rPr>
      </w:pPr>
    </w:p>
    <w:p w:rsidR="00285DAF" w:rsidRPr="000F0276" w:rsidRDefault="00285DAF" w:rsidP="00F30327">
      <w:pPr>
        <w:spacing w:after="0" w:line="240" w:lineRule="auto"/>
        <w:ind w:firstLine="547"/>
        <w:jc w:val="right"/>
        <w:rPr>
          <w:rFonts w:ascii="Times New Roman" w:hAnsi="Times New Roman" w:cs="Times New Roman"/>
          <w:i/>
          <w:color w:val="FF0000"/>
          <w:sz w:val="24"/>
          <w:szCs w:val="24"/>
        </w:rPr>
      </w:pPr>
    </w:p>
    <w:p w:rsidR="00DA4E09" w:rsidRDefault="00DF6954" w:rsidP="00D95ACB">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w:t>
      </w:r>
      <w:r w:rsidR="00285DAF">
        <w:rPr>
          <w:rFonts w:ascii="Times New Roman" w:hAnsi="Times New Roman" w:cs="Times New Roman"/>
          <w:color w:val="000000"/>
          <w:sz w:val="24"/>
          <w:szCs w:val="24"/>
        </w:rPr>
        <w:t>he graphs</w:t>
      </w:r>
      <w:r>
        <w:rPr>
          <w:rFonts w:ascii="Times New Roman" w:hAnsi="Times New Roman" w:cs="Times New Roman"/>
          <w:color w:val="000000"/>
          <w:sz w:val="24"/>
          <w:szCs w:val="24"/>
        </w:rPr>
        <w:t xml:space="preserve"> show</w:t>
      </w:r>
      <w:r w:rsidR="00285DAF">
        <w:rPr>
          <w:rFonts w:ascii="Times New Roman" w:hAnsi="Times New Roman" w:cs="Times New Roman"/>
          <w:color w:val="000000"/>
          <w:sz w:val="24"/>
          <w:szCs w:val="24"/>
        </w:rPr>
        <w:t xml:space="preserve"> that mining production would fluctuate with economic fluctuations (correlated more with copper and molybdenum prices, than GDP trend)</w:t>
      </w:r>
      <w:r w:rsidR="00E70E74">
        <w:rPr>
          <w:rFonts w:ascii="Times New Roman" w:hAnsi="Times New Roman" w:cs="Times New Roman"/>
          <w:color w:val="000000"/>
          <w:sz w:val="24"/>
          <w:szCs w:val="24"/>
        </w:rPr>
        <w:t xml:space="preserve">. The production started to increase starting 2000, with an escalation in 2004, mostly due to copper price </w:t>
      </w:r>
      <w:r w:rsidR="00E70E74">
        <w:rPr>
          <w:rFonts w:ascii="Times New Roman" w:hAnsi="Times New Roman" w:cs="Times New Roman"/>
          <w:color w:val="000000"/>
          <w:sz w:val="24"/>
          <w:szCs w:val="24"/>
        </w:rPr>
        <w:lastRenderedPageBreak/>
        <w:t>increase. The 2008 crisis slowed down the production until 2009, at which point a gradual increase started again. The drop in the mining production in 2008 contributed to the big drop in the GDP. Meanwhile, remittances had a continuous and monotonous increase during the years 2000 to 2008. In the third quarter of 2008 the effect of the crisis caught up with the remittance inflow into the country and the rate dropped drastically, hitting its lowest rate</w:t>
      </w:r>
      <w:r w:rsidR="006D3CF7">
        <w:rPr>
          <w:rFonts w:ascii="Times New Roman" w:hAnsi="Times New Roman" w:cs="Times New Roman"/>
          <w:color w:val="000000"/>
          <w:sz w:val="24"/>
          <w:szCs w:val="24"/>
        </w:rPr>
        <w:t>, a decline by 28%,</w:t>
      </w:r>
      <w:r w:rsidR="00E70E74">
        <w:rPr>
          <w:rFonts w:ascii="Times New Roman" w:hAnsi="Times New Roman" w:cs="Times New Roman"/>
          <w:color w:val="000000"/>
          <w:sz w:val="24"/>
          <w:szCs w:val="24"/>
        </w:rPr>
        <w:t xml:space="preserve"> in 2009 alongside GDP growth and mining production.  </w:t>
      </w:r>
    </w:p>
    <w:p w:rsidR="00626315" w:rsidRPr="00DE7930" w:rsidRDefault="00626315" w:rsidP="00D95ACB">
      <w:pPr>
        <w:spacing w:after="0" w:line="480" w:lineRule="auto"/>
        <w:ind w:firstLine="540"/>
        <w:jc w:val="both"/>
        <w:rPr>
          <w:rFonts w:ascii="Times New Roman" w:hAnsi="Times New Roman" w:cs="Times New Roman"/>
          <w:color w:val="000000"/>
          <w:sz w:val="24"/>
          <w:szCs w:val="24"/>
        </w:rPr>
      </w:pPr>
    </w:p>
    <w:p w:rsidR="00FB3542" w:rsidRPr="00EA4456" w:rsidRDefault="000F2561" w:rsidP="0007122D">
      <w:pPr>
        <w:spacing w:after="0" w:line="480" w:lineRule="auto"/>
        <w:ind w:firstLine="540"/>
        <w:rPr>
          <w:rFonts w:ascii="Times New Roman" w:hAnsi="Times New Roman" w:cs="Times New Roman"/>
          <w:i/>
          <w:color w:val="000000"/>
          <w:sz w:val="28"/>
          <w:szCs w:val="28"/>
          <w:u w:val="single"/>
        </w:rPr>
      </w:pPr>
      <w:r w:rsidRPr="00EA4456">
        <w:rPr>
          <w:rFonts w:ascii="Times New Roman" w:hAnsi="Times New Roman" w:cs="Times New Roman"/>
          <w:i/>
          <w:color w:val="000000"/>
          <w:sz w:val="28"/>
          <w:szCs w:val="28"/>
          <w:u w:val="single"/>
        </w:rPr>
        <w:t>Conclusion</w:t>
      </w:r>
    </w:p>
    <w:p w:rsidR="00254F5D" w:rsidRDefault="00A16AE2" w:rsidP="00254F5D">
      <w:pPr>
        <w:spacing w:after="0" w:line="480" w:lineRule="auto"/>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The 5 step diagnosis revealed that Armenia is a candidate for Dutch Disease. Four out of five symptoms indicate the condition. The REER has an appreciating trend and is sensitive to copper price and USD supply change, which affect FDI and mining export. The manufacturing sector has been declining due to lack of investment and insufficient invest into the lagging sectors. Movement effect has identified labour shifts to the resource abundant sector and higher wages in the tradable sector. The contribution of the mining sector to the economy and the country’s development in general is evident though FDI, exports structure, large mining production, employment opportunity</w:t>
      </w:r>
      <w:r w:rsidR="00D95ACB">
        <w:rPr>
          <w:rFonts w:ascii="Times New Roman" w:hAnsi="Times New Roman" w:cs="Times New Roman"/>
          <w:color w:val="000000"/>
          <w:sz w:val="24"/>
          <w:szCs w:val="24"/>
        </w:rPr>
        <w:t>, etc.</w:t>
      </w:r>
      <w:r w:rsidR="00876925">
        <w:rPr>
          <w:rFonts w:ascii="Times New Roman" w:hAnsi="Times New Roman" w:cs="Times New Roman"/>
          <w:color w:val="000000"/>
          <w:sz w:val="24"/>
          <w:szCs w:val="24"/>
        </w:rPr>
        <w:t xml:space="preserve"> Lack of competitiveness is evident from degrading manufacturing sector, lack of diversification in exported good and trading partners. </w:t>
      </w:r>
    </w:p>
    <w:p w:rsidR="00626315" w:rsidRPr="007C1B0C" w:rsidRDefault="00876925" w:rsidP="00876925">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Further, t</w:t>
      </w:r>
      <w:r w:rsidR="00254F5D">
        <w:rPr>
          <w:rFonts w:ascii="Times New Roman" w:hAnsi="Times New Roman" w:cs="Times New Roman"/>
          <w:sz w:val="24"/>
          <w:szCs w:val="24"/>
        </w:rPr>
        <w:t xml:space="preserve">he quality of </w:t>
      </w:r>
      <w:r w:rsidR="0082073B">
        <w:rPr>
          <w:rFonts w:ascii="Times New Roman" w:hAnsi="Times New Roman" w:cs="Times New Roman"/>
          <w:sz w:val="24"/>
          <w:szCs w:val="24"/>
        </w:rPr>
        <w:t>institutional guidance is</w:t>
      </w:r>
      <w:r w:rsidR="00254F5D">
        <w:rPr>
          <w:rFonts w:ascii="Times New Roman" w:hAnsi="Times New Roman" w:cs="Times New Roman"/>
          <w:sz w:val="24"/>
          <w:szCs w:val="24"/>
        </w:rPr>
        <w:t xml:space="preserve"> relevant for avoiding DD. Since </w:t>
      </w:r>
      <w:r w:rsidR="0082073B">
        <w:rPr>
          <w:rFonts w:ascii="Times New Roman" w:hAnsi="Times New Roman" w:cs="Times New Roman"/>
          <w:sz w:val="24"/>
          <w:szCs w:val="24"/>
        </w:rPr>
        <w:t xml:space="preserve">it was </w:t>
      </w:r>
      <w:r w:rsidR="00254F5D">
        <w:rPr>
          <w:rFonts w:ascii="Times New Roman" w:hAnsi="Times New Roman" w:cs="Times New Roman"/>
          <w:sz w:val="24"/>
          <w:szCs w:val="24"/>
        </w:rPr>
        <w:t>left untreated, the boom in the natural resource sector in the Netherlands created a resource curse in the country, yet the situation is different for petroleu</w:t>
      </w:r>
      <w:r w:rsidR="00D95ACB">
        <w:rPr>
          <w:rFonts w:ascii="Times New Roman" w:hAnsi="Times New Roman" w:cs="Times New Roman"/>
          <w:sz w:val="24"/>
          <w:szCs w:val="24"/>
        </w:rPr>
        <w:t xml:space="preserve">m-rich Norway. Despite rich </w:t>
      </w:r>
      <w:r w:rsidR="00254F5D">
        <w:rPr>
          <w:rFonts w:ascii="Times New Roman" w:hAnsi="Times New Roman" w:cs="Times New Roman"/>
          <w:sz w:val="24"/>
          <w:szCs w:val="24"/>
        </w:rPr>
        <w:t>natural resource</w:t>
      </w:r>
      <w:r w:rsidR="00D95ACB">
        <w:rPr>
          <w:rFonts w:ascii="Times New Roman" w:hAnsi="Times New Roman" w:cs="Times New Roman"/>
          <w:sz w:val="24"/>
          <w:szCs w:val="24"/>
        </w:rPr>
        <w:t>s, Norway never developed DD, because of</w:t>
      </w:r>
      <w:r w:rsidR="00254F5D">
        <w:rPr>
          <w:rFonts w:ascii="Times New Roman" w:hAnsi="Times New Roman" w:cs="Times New Roman"/>
          <w:sz w:val="24"/>
          <w:szCs w:val="24"/>
        </w:rPr>
        <w:t xml:space="preserve"> the awareness of the condition. The government of Norway developed several policies to avoid DD, including funding of the manufacturing sector to sustain it, creating of the Government Pension Fund designed to hedge against petroleum revenue and investment in technological advancement and research.</w:t>
      </w:r>
      <w:r w:rsidR="00A16AE2">
        <w:rPr>
          <w:rFonts w:ascii="Times New Roman" w:hAnsi="Times New Roman" w:cs="Times New Roman"/>
          <w:sz w:val="24"/>
          <w:szCs w:val="24"/>
        </w:rPr>
        <w:t xml:space="preserve"> </w:t>
      </w:r>
    </w:p>
    <w:p w:rsidR="007F1258" w:rsidRDefault="008D16F2" w:rsidP="008D16F2">
      <w:pPr>
        <w:spacing w:after="0" w:line="480" w:lineRule="auto"/>
        <w:ind w:firstLine="540"/>
        <w:jc w:val="center"/>
        <w:rPr>
          <w:rFonts w:ascii="Times New Roman" w:hAnsi="Times New Roman" w:cs="Times New Roman"/>
          <w:b/>
          <w:sz w:val="36"/>
          <w:szCs w:val="36"/>
        </w:rPr>
      </w:pPr>
      <w:r w:rsidRPr="008D16F2">
        <w:rPr>
          <w:rFonts w:ascii="Times New Roman" w:hAnsi="Times New Roman" w:cs="Times New Roman"/>
          <w:b/>
          <w:sz w:val="36"/>
          <w:szCs w:val="36"/>
        </w:rPr>
        <w:lastRenderedPageBreak/>
        <w:t xml:space="preserve">Chapter 3: </w:t>
      </w:r>
      <w:r w:rsidR="007F1258" w:rsidRPr="008D16F2">
        <w:rPr>
          <w:rFonts w:ascii="Times New Roman" w:hAnsi="Times New Roman" w:cs="Times New Roman"/>
          <w:b/>
          <w:sz w:val="36"/>
          <w:szCs w:val="36"/>
        </w:rPr>
        <w:t>Empirical Analysis</w:t>
      </w:r>
    </w:p>
    <w:p w:rsidR="00DF2A2B" w:rsidRPr="002C51E3" w:rsidRDefault="00DF2A2B" w:rsidP="008D16F2">
      <w:pPr>
        <w:spacing w:after="0" w:line="480" w:lineRule="auto"/>
        <w:ind w:firstLine="540"/>
        <w:jc w:val="center"/>
        <w:rPr>
          <w:rFonts w:ascii="Times New Roman" w:hAnsi="Times New Roman" w:cs="Times New Roman"/>
          <w:b/>
          <w:sz w:val="24"/>
          <w:szCs w:val="24"/>
        </w:rPr>
      </w:pPr>
    </w:p>
    <w:p w:rsidR="00C209AC" w:rsidRDefault="0073312E" w:rsidP="00C209AC">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As st</w:t>
      </w:r>
      <w:r w:rsidR="003E2085">
        <w:rPr>
          <w:rFonts w:ascii="Times New Roman" w:hAnsi="Times New Roman" w:cs="Times New Roman"/>
          <w:sz w:val="24"/>
          <w:szCs w:val="24"/>
        </w:rPr>
        <w:t>ated in the 5</w:t>
      </w:r>
      <w:r>
        <w:rPr>
          <w:rFonts w:ascii="Times New Roman" w:hAnsi="Times New Roman" w:cs="Times New Roman"/>
          <w:sz w:val="24"/>
          <w:szCs w:val="24"/>
        </w:rPr>
        <w:t xml:space="preserve"> stage diagnosis, the appreciation of REER in Armenia is partly due to natural resource industry activity, which can be seen</w:t>
      </w:r>
      <w:r w:rsidR="00E2747D">
        <w:rPr>
          <w:rFonts w:ascii="Times New Roman" w:hAnsi="Times New Roman" w:cs="Times New Roman"/>
          <w:sz w:val="24"/>
          <w:szCs w:val="24"/>
        </w:rPr>
        <w:t xml:space="preserve"> in copper price trends and mining production trends. </w:t>
      </w:r>
      <w:r>
        <w:rPr>
          <w:rFonts w:ascii="Times New Roman" w:hAnsi="Times New Roman" w:cs="Times New Roman"/>
          <w:sz w:val="24"/>
          <w:szCs w:val="24"/>
        </w:rPr>
        <w:t>Keeping in mind the natural resource industry is not the sole driver of the REER the first stage analysis will include remittances that flow to Armenia from abroad in the models</w:t>
      </w:r>
      <w:r w:rsidR="002E34AC">
        <w:rPr>
          <w:rFonts w:ascii="Times New Roman" w:hAnsi="Times New Roman" w:cs="Times New Roman"/>
          <w:sz w:val="24"/>
          <w:szCs w:val="24"/>
        </w:rPr>
        <w:t>. S</w:t>
      </w:r>
      <w:r w:rsidR="00E2747D">
        <w:rPr>
          <w:rFonts w:ascii="Times New Roman" w:hAnsi="Times New Roman" w:cs="Times New Roman"/>
          <w:sz w:val="24"/>
          <w:szCs w:val="24"/>
        </w:rPr>
        <w:t>tudies show that cash inflow in the country can be a cause of DD</w:t>
      </w:r>
      <w:r>
        <w:rPr>
          <w:rFonts w:ascii="Times New Roman" w:hAnsi="Times New Roman" w:cs="Times New Roman"/>
          <w:sz w:val="24"/>
          <w:szCs w:val="24"/>
        </w:rPr>
        <w:t>.</w:t>
      </w:r>
      <w:r w:rsidR="002E34AC">
        <w:rPr>
          <w:rFonts w:ascii="Times New Roman" w:hAnsi="Times New Roman" w:cs="Times New Roman"/>
          <w:sz w:val="24"/>
          <w:szCs w:val="24"/>
        </w:rPr>
        <w:t xml:space="preserve"> </w:t>
      </w:r>
    </w:p>
    <w:p w:rsidR="0073312E" w:rsidRDefault="001D335B" w:rsidP="00C209AC">
      <w:pPr>
        <w:spacing w:after="0" w:line="48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Table 3</w:t>
      </w:r>
      <w:r w:rsidR="00C209AC">
        <w:rPr>
          <w:rFonts w:ascii="Times New Roman" w:hAnsi="Times New Roman" w:cs="Times New Roman"/>
          <w:sz w:val="24"/>
          <w:szCs w:val="24"/>
        </w:rPr>
        <w:t xml:space="preserve"> illustrates all the variables used in the VECM regression. As indicated in Weight,</w:t>
      </w:r>
      <w:r w:rsidR="0073312E">
        <w:rPr>
          <w:rFonts w:ascii="Times New Roman" w:hAnsi="Times New Roman" w:cs="Times New Roman"/>
          <w:sz w:val="24"/>
          <w:szCs w:val="24"/>
        </w:rPr>
        <w:t xml:space="preserve"> </w:t>
      </w:r>
      <w:r w:rsidR="002E34AC">
        <w:rPr>
          <w:rFonts w:ascii="Times New Roman" w:hAnsi="Times New Roman" w:cs="Times New Roman"/>
          <w:color w:val="000000" w:themeColor="text1"/>
          <w:sz w:val="24"/>
          <w:szCs w:val="24"/>
        </w:rPr>
        <w:t>v</w:t>
      </w:r>
      <w:r w:rsidR="00943E80">
        <w:rPr>
          <w:rFonts w:ascii="Times New Roman" w:hAnsi="Times New Roman" w:cs="Times New Roman"/>
          <w:color w:val="000000" w:themeColor="text1"/>
          <w:sz w:val="24"/>
          <w:szCs w:val="24"/>
        </w:rPr>
        <w:t>ariables are weighted by the GDP and seasonally adjusted.</w:t>
      </w:r>
      <w:r w:rsidR="000B38C8">
        <w:rPr>
          <w:rFonts w:ascii="Times New Roman" w:hAnsi="Times New Roman" w:cs="Times New Roman"/>
          <w:color w:val="000000" w:themeColor="text1"/>
          <w:sz w:val="24"/>
          <w:szCs w:val="24"/>
        </w:rPr>
        <w:t xml:space="preserve"> Broad money</w:t>
      </w:r>
      <w:r w:rsidR="00C209AC">
        <w:rPr>
          <w:rFonts w:ascii="Times New Roman" w:hAnsi="Times New Roman" w:cs="Times New Roman"/>
          <w:color w:val="000000" w:themeColor="text1"/>
          <w:sz w:val="24"/>
          <w:szCs w:val="24"/>
        </w:rPr>
        <w:t xml:space="preserve"> is the </w:t>
      </w:r>
      <w:r w:rsidR="000B38C8">
        <w:rPr>
          <w:rFonts w:ascii="Times New Roman" w:hAnsi="Times New Roman" w:cs="Times New Roman"/>
          <w:color w:val="000000" w:themeColor="text1"/>
          <w:sz w:val="24"/>
          <w:szCs w:val="24"/>
        </w:rPr>
        <w:t xml:space="preserve">M2 </w:t>
      </w:r>
      <w:r w:rsidR="00C209AC">
        <w:rPr>
          <w:rFonts w:ascii="Times New Roman" w:hAnsi="Times New Roman" w:cs="Times New Roman"/>
          <w:color w:val="000000" w:themeColor="text1"/>
          <w:sz w:val="24"/>
          <w:szCs w:val="24"/>
        </w:rPr>
        <w:t>AMD</w:t>
      </w:r>
      <w:r w:rsidR="00C209AC" w:rsidRPr="00C209AC">
        <w:rPr>
          <w:rFonts w:ascii="Times New Roman" w:hAnsi="Times New Roman" w:cs="Times New Roman"/>
          <w:color w:val="000000" w:themeColor="text1"/>
          <w:sz w:val="24"/>
          <w:szCs w:val="24"/>
        </w:rPr>
        <w:t>,</w:t>
      </w:r>
      <w:r w:rsidR="00C209AC">
        <w:rPr>
          <w:rFonts w:ascii="Times New Roman" w:hAnsi="Times New Roman" w:cs="Times New Roman"/>
          <w:color w:val="000000" w:themeColor="text1"/>
          <w:sz w:val="24"/>
          <w:szCs w:val="24"/>
        </w:rPr>
        <w:t xml:space="preserve"> which</w:t>
      </w:r>
      <w:r w:rsidR="00C209AC" w:rsidRPr="00C209AC">
        <w:rPr>
          <w:rFonts w:ascii="Times New Roman" w:hAnsi="Times New Roman" w:cs="Times New Roman"/>
          <w:color w:val="000000" w:themeColor="text1"/>
          <w:sz w:val="24"/>
          <w:szCs w:val="24"/>
        </w:rPr>
        <w:t xml:space="preserve"> includes M1 and time </w:t>
      </w:r>
      <w:r w:rsidR="00C209AC">
        <w:rPr>
          <w:rFonts w:ascii="Times New Roman" w:hAnsi="Times New Roman" w:cs="Times New Roman"/>
          <w:color w:val="000000" w:themeColor="text1"/>
          <w:sz w:val="24"/>
          <w:szCs w:val="24"/>
        </w:rPr>
        <w:t>deposits and borrowings in AMD. Net Foreign Assets is the n</w:t>
      </w:r>
      <w:r w:rsidR="00C209AC" w:rsidRPr="00C209AC">
        <w:rPr>
          <w:rFonts w:ascii="Times New Roman" w:hAnsi="Times New Roman" w:cs="Times New Roman"/>
          <w:color w:val="000000" w:themeColor="text1"/>
          <w:sz w:val="24"/>
          <w:szCs w:val="24"/>
        </w:rPr>
        <w:t>et international investment position</w:t>
      </w:r>
      <w:r w:rsidR="00C209AC">
        <w:rPr>
          <w:rFonts w:ascii="Times New Roman" w:hAnsi="Times New Roman" w:cs="Times New Roman"/>
          <w:color w:val="000000" w:themeColor="text1"/>
          <w:sz w:val="24"/>
          <w:szCs w:val="24"/>
        </w:rPr>
        <w:t xml:space="preserve"> of a country. In Armenia’s case the position is negative, since there are no major investments abroad. </w:t>
      </w:r>
    </w:p>
    <w:p w:rsidR="008130FD" w:rsidRPr="00C209AC" w:rsidRDefault="00C209AC" w:rsidP="00626315">
      <w:pPr>
        <w:spacing w:after="0" w:line="480" w:lineRule="auto"/>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models have been tested for normality and residual autocorrelation. No residu</w:t>
      </w:r>
      <w:r w:rsidR="008130FD">
        <w:rPr>
          <w:rFonts w:ascii="Times New Roman" w:hAnsi="Times New Roman" w:cs="Times New Roman"/>
          <w:color w:val="000000" w:themeColor="text1"/>
          <w:sz w:val="24"/>
          <w:szCs w:val="24"/>
        </w:rPr>
        <w:t>al autocorrelation was found. T</w:t>
      </w:r>
      <w:r>
        <w:rPr>
          <w:rFonts w:ascii="Times New Roman" w:hAnsi="Times New Roman" w:cs="Times New Roman"/>
          <w:color w:val="000000" w:themeColor="text1"/>
          <w:sz w:val="24"/>
          <w:szCs w:val="24"/>
        </w:rPr>
        <w:t>he Jarque-Bera test indicated that residuals are normally dis</w:t>
      </w:r>
      <w:r w:rsidR="00972224">
        <w:rPr>
          <w:rFonts w:ascii="Times New Roman" w:hAnsi="Times New Roman" w:cs="Times New Roman"/>
          <w:color w:val="000000" w:themeColor="text1"/>
          <w:sz w:val="24"/>
          <w:szCs w:val="24"/>
        </w:rPr>
        <w:t>tributed.</w:t>
      </w:r>
      <w:r w:rsidR="00972224">
        <w:rPr>
          <w:rStyle w:val="FootnoteReference"/>
          <w:rFonts w:ascii="Times New Roman" w:hAnsi="Times New Roman" w:cs="Times New Roman"/>
          <w:color w:val="000000" w:themeColor="text1"/>
          <w:sz w:val="24"/>
          <w:szCs w:val="24"/>
        </w:rPr>
        <w:footnoteReference w:id="7"/>
      </w:r>
    </w:p>
    <w:p w:rsidR="0073312E" w:rsidRDefault="0073312E"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p w:rsidR="00AE5700" w:rsidRPr="007645BB" w:rsidRDefault="00AE5700" w:rsidP="007645BB">
      <w:pPr>
        <w:autoSpaceDE w:val="0"/>
        <w:autoSpaceDN w:val="0"/>
        <w:adjustRightInd w:val="0"/>
        <w:spacing w:after="0" w:line="480" w:lineRule="auto"/>
        <w:jc w:val="both"/>
        <w:rPr>
          <w:rFonts w:ascii="Times New Roman" w:hAnsi="Times New Roman" w:cs="Times New Roman"/>
          <w:color w:val="000000" w:themeColor="text1"/>
          <w:sz w:val="24"/>
          <w:szCs w:val="24"/>
        </w:rPr>
      </w:pPr>
    </w:p>
    <w:tbl>
      <w:tblPr>
        <w:tblStyle w:val="LightGrid-Accent1"/>
        <w:tblW w:w="8998" w:type="dxa"/>
        <w:tblLook w:val="04A0" w:firstRow="1" w:lastRow="0" w:firstColumn="1" w:lastColumn="0" w:noHBand="0" w:noVBand="1"/>
      </w:tblPr>
      <w:tblGrid>
        <w:gridCol w:w="2178"/>
        <w:gridCol w:w="1180"/>
        <w:gridCol w:w="1420"/>
        <w:gridCol w:w="1280"/>
        <w:gridCol w:w="1700"/>
        <w:gridCol w:w="1240"/>
      </w:tblGrid>
      <w:tr w:rsidR="00F870CF" w:rsidRPr="00671102" w:rsidTr="00740E89">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lastRenderedPageBreak/>
              <w:t>Variable</w:t>
            </w:r>
          </w:p>
        </w:tc>
        <w:tc>
          <w:tcPr>
            <w:tcW w:w="1180" w:type="dxa"/>
            <w:vAlign w:val="center"/>
            <w:hideMark/>
          </w:tcPr>
          <w:p w:rsidR="00F870CF" w:rsidRPr="00671102" w:rsidRDefault="00F870CF" w:rsidP="00740E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Observ.</w:t>
            </w:r>
          </w:p>
        </w:tc>
        <w:tc>
          <w:tcPr>
            <w:tcW w:w="1420" w:type="dxa"/>
            <w:vAlign w:val="center"/>
            <w:hideMark/>
          </w:tcPr>
          <w:p w:rsidR="00F870CF" w:rsidRPr="00671102" w:rsidRDefault="00F870CF" w:rsidP="00740E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Mean</w:t>
            </w:r>
          </w:p>
        </w:tc>
        <w:tc>
          <w:tcPr>
            <w:tcW w:w="1280" w:type="dxa"/>
            <w:vAlign w:val="center"/>
            <w:hideMark/>
          </w:tcPr>
          <w:p w:rsidR="00F870CF" w:rsidRPr="00671102" w:rsidRDefault="00F870CF" w:rsidP="00740E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Std. Dev.</w:t>
            </w:r>
          </w:p>
        </w:tc>
        <w:tc>
          <w:tcPr>
            <w:tcW w:w="1700" w:type="dxa"/>
            <w:vAlign w:val="center"/>
            <w:hideMark/>
          </w:tcPr>
          <w:p w:rsidR="00F870CF" w:rsidRPr="00671102" w:rsidRDefault="00F870CF" w:rsidP="00740E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Function</w:t>
            </w:r>
          </w:p>
        </w:tc>
        <w:tc>
          <w:tcPr>
            <w:tcW w:w="1240" w:type="dxa"/>
            <w:vAlign w:val="center"/>
            <w:hideMark/>
          </w:tcPr>
          <w:p w:rsidR="00F870CF" w:rsidRPr="00671102" w:rsidRDefault="00F870CF" w:rsidP="00740E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Mean weighted by GDP</w:t>
            </w:r>
          </w:p>
        </w:tc>
      </w:tr>
      <w:tr w:rsidR="00F870CF" w:rsidRPr="00671102" w:rsidTr="00740E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Calibri" w:eastAsia="Times New Roman" w:hAnsi="Calibri" w:cs="Times New Roman"/>
                <w:color w:val="000000"/>
              </w:rPr>
            </w:pPr>
          </w:p>
        </w:tc>
        <w:tc>
          <w:tcPr>
            <w:tcW w:w="11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42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2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70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124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F870CF" w:rsidRPr="00671102" w:rsidTr="00740E89">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Real Effective Exchange Rate</w:t>
            </w:r>
          </w:p>
        </w:tc>
        <w:tc>
          <w:tcPr>
            <w:tcW w:w="11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118.005</w:t>
            </w:r>
          </w:p>
        </w:tc>
        <w:tc>
          <w:tcPr>
            <w:tcW w:w="12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13.45</w:t>
            </w:r>
          </w:p>
        </w:tc>
        <w:tc>
          <w:tcPr>
            <w:tcW w:w="170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base 2004 = 100</w:t>
            </w:r>
          </w:p>
        </w:tc>
        <w:tc>
          <w:tcPr>
            <w:tcW w:w="124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r>
      <w:tr w:rsidR="00F870CF" w:rsidRPr="00671102" w:rsidTr="00740E8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Mining and Quarrying Production</w:t>
            </w:r>
          </w:p>
        </w:tc>
        <w:tc>
          <w:tcPr>
            <w:tcW w:w="11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15370.57</w:t>
            </w:r>
          </w:p>
        </w:tc>
        <w:tc>
          <w:tcPr>
            <w:tcW w:w="12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8965.2</w:t>
            </w:r>
          </w:p>
        </w:tc>
        <w:tc>
          <w:tcPr>
            <w:tcW w:w="170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AMD</w:t>
            </w:r>
          </w:p>
        </w:tc>
        <w:tc>
          <w:tcPr>
            <w:tcW w:w="124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0.022</w:t>
            </w:r>
          </w:p>
        </w:tc>
      </w:tr>
      <w:tr w:rsidR="00F870CF" w:rsidRPr="00671102" w:rsidTr="00740E89">
        <w:trPr>
          <w:cnfStyle w:val="000000010000" w:firstRow="0" w:lastRow="0" w:firstColumn="0" w:lastColumn="0" w:oddVBand="0" w:evenVBand="0" w:oddHBand="0" w:evenHBand="1"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Remittances</w:t>
            </w:r>
          </w:p>
        </w:tc>
        <w:tc>
          <w:tcPr>
            <w:tcW w:w="11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265.8537</w:t>
            </w:r>
          </w:p>
        </w:tc>
        <w:tc>
          <w:tcPr>
            <w:tcW w:w="12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185.8</w:t>
            </w:r>
          </w:p>
        </w:tc>
        <w:tc>
          <w:tcPr>
            <w:tcW w:w="170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USD</w:t>
            </w:r>
          </w:p>
        </w:tc>
        <w:tc>
          <w:tcPr>
            <w:tcW w:w="124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rPr>
            </w:pPr>
          </w:p>
        </w:tc>
      </w:tr>
      <w:tr w:rsidR="00F870CF" w:rsidRPr="00671102" w:rsidTr="00740E89">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Copper Prices</w:t>
            </w:r>
          </w:p>
        </w:tc>
        <w:tc>
          <w:tcPr>
            <w:tcW w:w="11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5157.589</w:t>
            </w:r>
          </w:p>
        </w:tc>
        <w:tc>
          <w:tcPr>
            <w:tcW w:w="12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2689</w:t>
            </w:r>
          </w:p>
        </w:tc>
        <w:tc>
          <w:tcPr>
            <w:tcW w:w="170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Market prices, nominal $</w:t>
            </w:r>
          </w:p>
        </w:tc>
        <w:tc>
          <w:tcPr>
            <w:tcW w:w="124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F870CF" w:rsidRPr="00671102" w:rsidTr="00740E89">
        <w:trPr>
          <w:cnfStyle w:val="000000010000" w:firstRow="0" w:lastRow="0" w:firstColumn="0" w:lastColumn="0" w:oddVBand="0" w:evenVBand="0" w:oddHBand="0" w:evenHBand="1"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Net Foreign Assets</w:t>
            </w:r>
          </w:p>
        </w:tc>
        <w:tc>
          <w:tcPr>
            <w:tcW w:w="11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52</w:t>
            </w:r>
          </w:p>
        </w:tc>
        <w:tc>
          <w:tcPr>
            <w:tcW w:w="142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158743.7</w:t>
            </w:r>
          </w:p>
        </w:tc>
        <w:tc>
          <w:tcPr>
            <w:tcW w:w="12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193242</w:t>
            </w:r>
          </w:p>
        </w:tc>
        <w:tc>
          <w:tcPr>
            <w:tcW w:w="170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AMD</w:t>
            </w:r>
          </w:p>
        </w:tc>
        <w:tc>
          <w:tcPr>
            <w:tcW w:w="124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0.31</w:t>
            </w:r>
          </w:p>
        </w:tc>
      </w:tr>
      <w:tr w:rsidR="00F870CF" w:rsidRPr="00671102" w:rsidTr="00740E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Broad Money</w:t>
            </w:r>
          </w:p>
        </w:tc>
        <w:tc>
          <w:tcPr>
            <w:tcW w:w="11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358020.7</w:t>
            </w:r>
          </w:p>
        </w:tc>
        <w:tc>
          <w:tcPr>
            <w:tcW w:w="12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251053</w:t>
            </w:r>
          </w:p>
        </w:tc>
        <w:tc>
          <w:tcPr>
            <w:tcW w:w="170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AMD</w:t>
            </w:r>
          </w:p>
        </w:tc>
        <w:tc>
          <w:tcPr>
            <w:tcW w:w="124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0.475</w:t>
            </w:r>
          </w:p>
        </w:tc>
      </w:tr>
      <w:tr w:rsidR="00F870CF" w:rsidRPr="00671102" w:rsidTr="00740E89">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Net Exports of Goods and Services</w:t>
            </w:r>
          </w:p>
        </w:tc>
        <w:tc>
          <w:tcPr>
            <w:tcW w:w="11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-145084</w:t>
            </w:r>
          </w:p>
        </w:tc>
        <w:tc>
          <w:tcPr>
            <w:tcW w:w="128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80328.45</w:t>
            </w:r>
          </w:p>
        </w:tc>
        <w:tc>
          <w:tcPr>
            <w:tcW w:w="170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AMD</w:t>
            </w:r>
          </w:p>
        </w:tc>
        <w:tc>
          <w:tcPr>
            <w:tcW w:w="1240" w:type="dxa"/>
            <w:vAlign w:val="center"/>
            <w:hideMark/>
          </w:tcPr>
          <w:p w:rsidR="00F870CF" w:rsidRPr="00671102" w:rsidRDefault="00F870CF" w:rsidP="00740E8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-0.217</w:t>
            </w:r>
          </w:p>
        </w:tc>
      </w:tr>
      <w:tr w:rsidR="00F870CF" w:rsidRPr="00671102" w:rsidTr="00740E8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2178" w:type="dxa"/>
            <w:vAlign w:val="center"/>
            <w:hideMark/>
          </w:tcPr>
          <w:p w:rsidR="00F870CF" w:rsidRPr="00671102" w:rsidRDefault="00F870CF" w:rsidP="00740E89">
            <w:pPr>
              <w:jc w:val="center"/>
              <w:rPr>
                <w:rFonts w:ascii="Times New Roman" w:eastAsia="Times New Roman" w:hAnsi="Times New Roman" w:cs="Times New Roman"/>
                <w:b w:val="0"/>
                <w:color w:val="000000"/>
                <w:sz w:val="24"/>
                <w:szCs w:val="24"/>
              </w:rPr>
            </w:pPr>
            <w:r w:rsidRPr="00671102">
              <w:rPr>
                <w:rFonts w:ascii="Times New Roman" w:eastAsia="Times New Roman" w:hAnsi="Times New Roman" w:cs="Times New Roman"/>
                <w:b w:val="0"/>
                <w:color w:val="000000"/>
                <w:sz w:val="24"/>
                <w:szCs w:val="24"/>
              </w:rPr>
              <w:t>Governmental Investment into Assets</w:t>
            </w:r>
          </w:p>
        </w:tc>
        <w:tc>
          <w:tcPr>
            <w:tcW w:w="11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56</w:t>
            </w:r>
          </w:p>
        </w:tc>
        <w:tc>
          <w:tcPr>
            <w:tcW w:w="142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812021</w:t>
            </w:r>
          </w:p>
        </w:tc>
        <w:tc>
          <w:tcPr>
            <w:tcW w:w="128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501257</w:t>
            </w:r>
          </w:p>
        </w:tc>
        <w:tc>
          <w:tcPr>
            <w:tcW w:w="170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in million AMD</w:t>
            </w:r>
          </w:p>
        </w:tc>
        <w:tc>
          <w:tcPr>
            <w:tcW w:w="1240" w:type="dxa"/>
            <w:vAlign w:val="center"/>
            <w:hideMark/>
          </w:tcPr>
          <w:p w:rsidR="00F870CF" w:rsidRPr="00671102" w:rsidRDefault="00F870CF" w:rsidP="00740E8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671102">
              <w:rPr>
                <w:rFonts w:ascii="Times New Roman" w:eastAsia="Times New Roman" w:hAnsi="Times New Roman" w:cs="Times New Roman"/>
                <w:color w:val="000000"/>
                <w:sz w:val="24"/>
                <w:szCs w:val="24"/>
              </w:rPr>
              <w:t>1.22</w:t>
            </w:r>
          </w:p>
        </w:tc>
      </w:tr>
    </w:tbl>
    <w:p w:rsidR="00FD22A0" w:rsidRDefault="00740E89" w:rsidP="00740E89">
      <w:pPr>
        <w:autoSpaceDE w:val="0"/>
        <w:autoSpaceDN w:val="0"/>
        <w:adjustRightInd w:val="0"/>
        <w:spacing w:before="120" w:after="0" w:line="480" w:lineRule="auto"/>
        <w:ind w:firstLine="720"/>
        <w:jc w:val="right"/>
        <w:rPr>
          <w:rFonts w:ascii="Times New Roman" w:hAnsi="Times New Roman" w:cs="Times New Roman"/>
          <w:bCs/>
          <w:color w:val="000000" w:themeColor="text1"/>
          <w:sz w:val="24"/>
          <w:szCs w:val="24"/>
        </w:rPr>
      </w:pPr>
      <w:r w:rsidRPr="00FB4B91">
        <w:rPr>
          <w:rFonts w:ascii="Times New Roman" w:hAnsi="Times New Roman" w:cs="Times New Roman"/>
          <w:i/>
          <w:sz w:val="24"/>
          <w:szCs w:val="24"/>
        </w:rPr>
        <w:t>Table</w:t>
      </w:r>
      <w:r>
        <w:rPr>
          <w:rFonts w:ascii="Times New Roman" w:hAnsi="Times New Roman" w:cs="Times New Roman"/>
          <w:i/>
          <w:sz w:val="24"/>
          <w:szCs w:val="24"/>
        </w:rPr>
        <w:t xml:space="preserve"> 3.Variable Statistics</w:t>
      </w:r>
    </w:p>
    <w:p w:rsidR="00AE5700" w:rsidRDefault="00AE5700" w:rsidP="00F870CF">
      <w:pPr>
        <w:autoSpaceDE w:val="0"/>
        <w:autoSpaceDN w:val="0"/>
        <w:adjustRightInd w:val="0"/>
        <w:spacing w:after="0" w:line="480" w:lineRule="auto"/>
        <w:ind w:firstLine="720"/>
        <w:jc w:val="both"/>
        <w:rPr>
          <w:rFonts w:ascii="Times New Roman" w:hAnsi="Times New Roman" w:cs="Times New Roman"/>
          <w:bCs/>
          <w:color w:val="000000" w:themeColor="text1"/>
          <w:sz w:val="24"/>
          <w:szCs w:val="24"/>
        </w:rPr>
      </w:pPr>
    </w:p>
    <w:p w:rsidR="008D60FB" w:rsidRDefault="00E2747D" w:rsidP="00F870C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2747D">
        <w:rPr>
          <w:rFonts w:ascii="Times New Roman" w:hAnsi="Times New Roman" w:cs="Times New Roman"/>
          <w:bCs/>
          <w:color w:val="000000" w:themeColor="text1"/>
          <w:sz w:val="24"/>
          <w:szCs w:val="24"/>
        </w:rPr>
        <w:t>In the long run Government</w:t>
      </w:r>
      <w:r w:rsidR="0073312E" w:rsidRPr="00E2747D">
        <w:rPr>
          <w:rFonts w:ascii="Times New Roman" w:hAnsi="Times New Roman" w:cs="Times New Roman"/>
          <w:bCs/>
          <w:color w:val="000000" w:themeColor="text1"/>
          <w:sz w:val="24"/>
          <w:szCs w:val="24"/>
        </w:rPr>
        <w:t xml:space="preserve"> investment</w:t>
      </w:r>
      <w:r w:rsidR="0073312E" w:rsidRPr="00E2747D">
        <w:rPr>
          <w:rFonts w:ascii="Times New Roman" w:hAnsi="Times New Roman" w:cs="Times New Roman"/>
          <w:color w:val="000000" w:themeColor="text1"/>
          <w:sz w:val="24"/>
          <w:szCs w:val="24"/>
        </w:rPr>
        <w:t xml:space="preserve"> may capture technological progress</w:t>
      </w:r>
      <w:r w:rsidRPr="00E2747D">
        <w:rPr>
          <w:rFonts w:ascii="Times New Roman" w:hAnsi="Times New Roman" w:cs="Times New Roman"/>
          <w:color w:val="000000" w:themeColor="text1"/>
          <w:sz w:val="24"/>
          <w:szCs w:val="24"/>
        </w:rPr>
        <w:t xml:space="preserve">. </w:t>
      </w:r>
      <w:r w:rsidR="007645BB">
        <w:rPr>
          <w:rFonts w:ascii="Times New Roman" w:hAnsi="Times New Roman" w:cs="Times New Roman"/>
          <w:color w:val="000000" w:themeColor="text1"/>
          <w:sz w:val="24"/>
          <w:szCs w:val="24"/>
        </w:rPr>
        <w:t xml:space="preserve">Net foreign assets of the country show the assets </w:t>
      </w:r>
      <w:r w:rsidR="001969C3">
        <w:rPr>
          <w:rFonts w:ascii="Times New Roman" w:hAnsi="Times New Roman" w:cs="Times New Roman"/>
          <w:color w:val="000000" w:themeColor="text1"/>
          <w:sz w:val="24"/>
          <w:szCs w:val="24"/>
        </w:rPr>
        <w:t xml:space="preserve">value of assets a country hold abroad deducting domestic assets held by foreign investors. In DD theory, investment in foreign assets acts as economy’s diversification for a country. </w:t>
      </w:r>
      <w:r w:rsidR="001969C3" w:rsidRPr="00C209AC">
        <w:rPr>
          <w:rFonts w:ascii="Times New Roman" w:hAnsi="Times New Roman" w:cs="Times New Roman"/>
          <w:sz w:val="24"/>
          <w:szCs w:val="24"/>
        </w:rPr>
        <w:t>M2</w:t>
      </w:r>
      <w:r w:rsidR="001969C3">
        <w:rPr>
          <w:rFonts w:ascii="Times New Roman" w:hAnsi="Times New Roman" w:cs="Times New Roman"/>
          <w:color w:val="000000" w:themeColor="text1"/>
          <w:sz w:val="24"/>
          <w:szCs w:val="24"/>
        </w:rPr>
        <w:t xml:space="preserve"> is short term policy indicator, since the government can artificially increase or decrease the REER in the market by generating cash flow. The</w:t>
      </w:r>
      <w:r w:rsidRPr="00E2747D">
        <w:rPr>
          <w:rFonts w:ascii="Times New Roman" w:hAnsi="Times New Roman" w:cs="Times New Roman"/>
          <w:color w:val="000000" w:themeColor="text1"/>
          <w:sz w:val="24"/>
          <w:szCs w:val="24"/>
        </w:rPr>
        <w:t xml:space="preserve"> variable</w:t>
      </w:r>
      <w:r w:rsidR="007645BB">
        <w:rPr>
          <w:rFonts w:ascii="Times New Roman" w:hAnsi="Times New Roman" w:cs="Times New Roman"/>
          <w:color w:val="000000" w:themeColor="text1"/>
          <w:sz w:val="24"/>
          <w:szCs w:val="24"/>
        </w:rPr>
        <w:t>s</w:t>
      </w:r>
      <w:r w:rsidRPr="00E2747D">
        <w:rPr>
          <w:rFonts w:ascii="Times New Roman" w:hAnsi="Times New Roman" w:cs="Times New Roman"/>
          <w:color w:val="000000" w:themeColor="text1"/>
          <w:sz w:val="24"/>
          <w:szCs w:val="24"/>
        </w:rPr>
        <w:t xml:space="preserve"> </w:t>
      </w:r>
      <w:r w:rsidR="007645BB">
        <w:rPr>
          <w:rFonts w:ascii="Times New Roman" w:hAnsi="Times New Roman" w:cs="Times New Roman"/>
          <w:color w:val="000000" w:themeColor="text1"/>
          <w:sz w:val="24"/>
          <w:szCs w:val="24"/>
        </w:rPr>
        <w:t>indicate</w:t>
      </w:r>
      <w:r w:rsidRPr="00E2747D">
        <w:rPr>
          <w:rFonts w:ascii="Times New Roman" w:hAnsi="Times New Roman" w:cs="Times New Roman"/>
          <w:color w:val="000000" w:themeColor="text1"/>
          <w:sz w:val="24"/>
          <w:szCs w:val="24"/>
        </w:rPr>
        <w:t xml:space="preserve"> the Government’</w:t>
      </w:r>
      <w:r w:rsidR="007645BB">
        <w:rPr>
          <w:rFonts w:ascii="Times New Roman" w:hAnsi="Times New Roman" w:cs="Times New Roman"/>
          <w:color w:val="000000" w:themeColor="text1"/>
          <w:sz w:val="24"/>
          <w:szCs w:val="24"/>
        </w:rPr>
        <w:t>s policies,</w:t>
      </w:r>
      <w:r w:rsidRPr="00E2747D">
        <w:rPr>
          <w:rFonts w:ascii="Times New Roman" w:hAnsi="Times New Roman" w:cs="Times New Roman"/>
          <w:color w:val="000000" w:themeColor="text1"/>
          <w:sz w:val="24"/>
          <w:szCs w:val="24"/>
        </w:rPr>
        <w:t xml:space="preserve"> involvement in the market production</w:t>
      </w:r>
      <w:r w:rsidR="007645BB">
        <w:rPr>
          <w:rFonts w:ascii="Times New Roman" w:hAnsi="Times New Roman" w:cs="Times New Roman"/>
          <w:color w:val="000000" w:themeColor="text1"/>
          <w:sz w:val="24"/>
          <w:szCs w:val="24"/>
        </w:rPr>
        <w:t xml:space="preserve"> and economic activity</w:t>
      </w:r>
      <w:r w:rsidRPr="00E2747D">
        <w:rPr>
          <w:rFonts w:ascii="Times New Roman" w:hAnsi="Times New Roman" w:cs="Times New Roman"/>
          <w:color w:val="000000" w:themeColor="text1"/>
          <w:sz w:val="24"/>
          <w:szCs w:val="24"/>
        </w:rPr>
        <w:t xml:space="preserve">.  </w:t>
      </w:r>
    </w:p>
    <w:p w:rsidR="00AE5700" w:rsidRDefault="00AE5700" w:rsidP="00F870C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AE5700" w:rsidRDefault="00AE5700" w:rsidP="00F870C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p w:rsidR="00AE5700" w:rsidRPr="00626315" w:rsidRDefault="00AE5700" w:rsidP="00F870CF">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p>
    <w:tbl>
      <w:tblPr>
        <w:tblStyle w:val="MediumGrid2-Accent1"/>
        <w:tblW w:w="7289" w:type="dxa"/>
        <w:jc w:val="center"/>
        <w:tblLook w:val="04A0" w:firstRow="1" w:lastRow="0" w:firstColumn="1" w:lastColumn="0" w:noHBand="0" w:noVBand="1"/>
      </w:tblPr>
      <w:tblGrid>
        <w:gridCol w:w="2835"/>
        <w:gridCol w:w="1454"/>
        <w:gridCol w:w="1546"/>
        <w:gridCol w:w="1454"/>
      </w:tblGrid>
      <w:tr w:rsidR="00401B88" w:rsidRPr="000C0D71" w:rsidTr="00401B88">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100" w:firstRow="0" w:lastRow="0" w:firstColumn="1" w:lastColumn="0" w:oddVBand="0" w:evenVBand="0" w:oddHBand="0" w:evenHBand="0" w:firstRowFirstColumn="1"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p>
        </w:tc>
        <w:tc>
          <w:tcPr>
            <w:tcW w:w="1454" w:type="dxa"/>
            <w:hideMark/>
          </w:tcPr>
          <w:p w:rsidR="00401B88" w:rsidRPr="00D052A7" w:rsidRDefault="00401B88" w:rsidP="00AD14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52A7">
              <w:rPr>
                <w:rFonts w:ascii="Times New Roman" w:eastAsia="Times New Roman" w:hAnsi="Times New Roman" w:cs="Times New Roman"/>
                <w:color w:val="000000"/>
                <w:sz w:val="24"/>
                <w:szCs w:val="24"/>
              </w:rPr>
              <w:t>Model 1</w:t>
            </w:r>
          </w:p>
        </w:tc>
        <w:tc>
          <w:tcPr>
            <w:tcW w:w="1546" w:type="dxa"/>
            <w:hideMark/>
          </w:tcPr>
          <w:p w:rsidR="00401B88" w:rsidRPr="00D052A7" w:rsidRDefault="00401B88" w:rsidP="00AD14E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52A7">
              <w:rPr>
                <w:rFonts w:ascii="Times New Roman" w:eastAsia="Times New Roman" w:hAnsi="Times New Roman" w:cs="Times New Roman"/>
                <w:color w:val="000000"/>
                <w:sz w:val="24"/>
                <w:szCs w:val="24"/>
              </w:rPr>
              <w:t>Model 2</w:t>
            </w:r>
          </w:p>
        </w:tc>
        <w:tc>
          <w:tcPr>
            <w:tcW w:w="1454" w:type="dxa"/>
          </w:tcPr>
          <w:p w:rsidR="00401B88" w:rsidRPr="00D052A7" w:rsidRDefault="00401B88" w:rsidP="005C53E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052A7">
              <w:rPr>
                <w:rFonts w:ascii="Times New Roman" w:eastAsia="Times New Roman" w:hAnsi="Times New Roman" w:cs="Times New Roman"/>
                <w:color w:val="000000"/>
                <w:sz w:val="24"/>
                <w:szCs w:val="24"/>
              </w:rPr>
              <w:t>Model 3</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Number of Observation</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52</w:t>
            </w:r>
          </w:p>
        </w:tc>
        <w:tc>
          <w:tcPr>
            <w:tcW w:w="1454" w:type="dxa"/>
          </w:tcPr>
          <w:p w:rsidR="00401B88" w:rsidRPr="00AD14E2" w:rsidRDefault="00401B88" w:rsidP="005C5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401B88" w:rsidRPr="000C0D71" w:rsidTr="00401B88">
        <w:trPr>
          <w:trHeight w:val="312"/>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4F81BD" w:themeColor="accent1"/>
            </w:tcBorders>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SBIC</w:t>
            </w:r>
          </w:p>
        </w:tc>
        <w:tc>
          <w:tcPr>
            <w:tcW w:w="1454" w:type="dxa"/>
            <w:tcBorders>
              <w:bottom w:val="single" w:sz="8" w:space="0" w:color="4F81BD" w:themeColor="accent1"/>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sidRPr="00AD14E2">
              <w:rPr>
                <w:rFonts w:ascii="Times New Roman" w:eastAsia="Times New Roman" w:hAnsi="Times New Roman" w:cs="Times New Roman"/>
                <w:color w:val="000000"/>
                <w:sz w:val="24"/>
                <w:szCs w:val="24"/>
              </w:rPr>
              <w:t>.4</w:t>
            </w:r>
          </w:p>
        </w:tc>
        <w:tc>
          <w:tcPr>
            <w:tcW w:w="1546" w:type="dxa"/>
            <w:tcBorders>
              <w:bottom w:val="single" w:sz="8" w:space="0" w:color="4F81BD" w:themeColor="accent1"/>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.8</w:t>
            </w:r>
          </w:p>
        </w:tc>
        <w:tc>
          <w:tcPr>
            <w:tcW w:w="1454" w:type="dxa"/>
          </w:tcPr>
          <w:p w:rsidR="00401B88" w:rsidRPr="00AD14E2" w:rsidRDefault="00401B88" w:rsidP="005C53E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AIC</w:t>
            </w:r>
          </w:p>
        </w:tc>
        <w:tc>
          <w:tcPr>
            <w:tcW w:w="1454" w:type="dxa"/>
            <w:tcBorders>
              <w:bottom w:val="nil"/>
            </w:tcBorders>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Pr="00AD14E2">
              <w:rPr>
                <w:rFonts w:ascii="Times New Roman" w:eastAsia="Times New Roman" w:hAnsi="Times New Roman" w:cs="Times New Roman"/>
                <w:color w:val="000000"/>
                <w:sz w:val="24"/>
                <w:szCs w:val="24"/>
              </w:rPr>
              <w:t>.2</w:t>
            </w:r>
          </w:p>
        </w:tc>
        <w:tc>
          <w:tcPr>
            <w:tcW w:w="1546" w:type="dxa"/>
            <w:tcBorders>
              <w:bottom w:val="nil"/>
            </w:tcBorders>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.6</w:t>
            </w:r>
          </w:p>
        </w:tc>
        <w:tc>
          <w:tcPr>
            <w:tcW w:w="1454" w:type="dxa"/>
            <w:tcBorders>
              <w:bottom w:val="nil"/>
            </w:tcBorders>
          </w:tcPr>
          <w:p w:rsidR="00401B88" w:rsidRPr="00AD14E2" w:rsidRDefault="00401B88" w:rsidP="005C53E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w:t>
            </w:r>
          </w:p>
        </w:tc>
      </w:tr>
      <w:tr w:rsidR="00401B88" w:rsidRPr="000C0D71" w:rsidTr="00401B88">
        <w:trPr>
          <w:trHeight w:val="387"/>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Error Correction</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c>
          <w:tcPr>
            <w:tcW w:w="1454" w:type="dxa"/>
            <w:tcBorders>
              <w:right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w:t>
            </w:r>
          </w:p>
        </w:tc>
      </w:tr>
      <w:tr w:rsidR="000D4E9F" w:rsidRPr="000C0D71" w:rsidTr="0052691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7289" w:type="dxa"/>
            <w:gridSpan w:val="4"/>
            <w:tcBorders>
              <w:right w:val="single" w:sz="4" w:space="0" w:color="auto"/>
            </w:tcBorders>
            <w:hideMark/>
          </w:tcPr>
          <w:p w:rsidR="000D4E9F" w:rsidRPr="000D4E9F" w:rsidRDefault="000D4E9F" w:rsidP="000D4E9F">
            <w:pPr>
              <w:jc w:val="center"/>
              <w:rPr>
                <w:rFonts w:ascii="Times New Roman" w:eastAsia="Times New Roman" w:hAnsi="Times New Roman" w:cs="Times New Roman"/>
                <w:bCs w:val="0"/>
                <w:color w:val="000000"/>
                <w:sz w:val="24"/>
                <w:szCs w:val="24"/>
              </w:rPr>
            </w:pPr>
            <w:r w:rsidRPr="000D4E9F">
              <w:rPr>
                <w:rFonts w:ascii="Times New Roman" w:eastAsia="Times New Roman" w:hAnsi="Times New Roman" w:cs="Times New Roman"/>
                <w:color w:val="000000"/>
                <w:sz w:val="24"/>
                <w:szCs w:val="24"/>
              </w:rPr>
              <w:t>Longer Term Relation:  REER</w:t>
            </w: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Mining</w:t>
            </w:r>
            <w:r>
              <w:rPr>
                <w:rFonts w:ascii="Times New Roman" w:eastAsia="Times New Roman" w:hAnsi="Times New Roman" w:cs="Times New Roman"/>
                <w:b w:val="0"/>
                <w:color w:val="000000"/>
                <w:sz w:val="24"/>
                <w:szCs w:val="24"/>
              </w:rPr>
              <w:t xml:space="preserve"> share</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4.28**   (1</w:t>
            </w:r>
            <w:r w:rsidRPr="00AD14E2">
              <w:rPr>
                <w:rFonts w:ascii="Times New Roman" w:eastAsia="Times New Roman" w:hAnsi="Times New Roman" w:cs="Times New Roman"/>
                <w:color w:val="000000"/>
                <w:sz w:val="24"/>
                <w:szCs w:val="24"/>
              </w:rPr>
              <w:t>.92)</w:t>
            </w:r>
          </w:p>
        </w:tc>
        <w:tc>
          <w:tcPr>
            <w:tcW w:w="1454" w:type="dxa"/>
            <w:tcBorders>
              <w:right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r w:rsidRPr="00AD14E2">
              <w:rPr>
                <w:rFonts w:ascii="Times New Roman" w:eastAsia="Times New Roman" w:hAnsi="Times New Roman" w:cs="Times New Roman"/>
                <w:color w:val="000000"/>
                <w:sz w:val="24"/>
                <w:szCs w:val="24"/>
              </w:rPr>
              <w:t>***   (0.16)</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Remit.</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tcBorders>
              <w:right w:val="single" w:sz="4" w:space="0" w:color="auto"/>
            </w:tcBorders>
            <w:hideMark/>
          </w:tcPr>
          <w:p w:rsidR="00401B88" w:rsidRPr="00AD14E2" w:rsidRDefault="00401B88" w:rsidP="00987E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0.50</w:t>
            </w:r>
            <w:r w:rsidRPr="00AD14E2">
              <w:rPr>
                <w:rFonts w:ascii="Times New Roman" w:eastAsia="Times New Roman" w:hAnsi="Times New Roman" w:cs="Times New Roman"/>
                <w:color w:val="000000"/>
                <w:sz w:val="24"/>
                <w:szCs w:val="24"/>
              </w:rPr>
              <w:t>***     (0.024)</w:t>
            </w: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Copper</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0.0087</w:t>
            </w:r>
            <w:r w:rsidRPr="00AD14E2">
              <w:rPr>
                <w:rFonts w:ascii="Times New Roman" w:eastAsia="Times New Roman" w:hAnsi="Times New Roman" w:cs="Times New Roman"/>
                <w:color w:val="000000"/>
                <w:sz w:val="24"/>
                <w:szCs w:val="24"/>
              </w:rPr>
              <w:t>***</w:t>
            </w:r>
            <w:r w:rsidR="006E46D4">
              <w:rPr>
                <w:rStyle w:val="FootnoteReference"/>
                <w:rFonts w:ascii="Times New Roman" w:eastAsia="Times New Roman" w:hAnsi="Times New Roman" w:cs="Times New Roman"/>
                <w:color w:val="000000"/>
                <w:sz w:val="24"/>
                <w:szCs w:val="24"/>
              </w:rPr>
              <w:footnoteReference w:id="8"/>
            </w:r>
            <w:r w:rsidRPr="00AD14E2">
              <w:rPr>
                <w:rFonts w:ascii="Times New Roman" w:eastAsia="Times New Roman" w:hAnsi="Times New Roman" w:cs="Times New Roman"/>
                <w:color w:val="000000"/>
                <w:sz w:val="24"/>
                <w:szCs w:val="24"/>
              </w:rPr>
              <w:t xml:space="preserve"> (0.01)</w:t>
            </w: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tcBorders>
              <w:right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NFA share</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(7</w:t>
            </w:r>
            <w:r w:rsidRPr="00AD14E2">
              <w:rPr>
                <w:rFonts w:ascii="Times New Roman" w:eastAsia="Times New Roman" w:hAnsi="Times New Roman" w:cs="Times New Roman"/>
                <w:color w:val="000000"/>
                <w:sz w:val="24"/>
                <w:szCs w:val="24"/>
              </w:rPr>
              <w:t>.4)</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tcBorders>
              <w:right w:val="single" w:sz="4" w:space="0" w:color="auto"/>
            </w:tcBorders>
            <w:hideMark/>
          </w:tcPr>
          <w:p w:rsidR="00401B88"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w:t>
            </w:r>
          </w:p>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Net Exports</w:t>
            </w:r>
            <w:r>
              <w:rPr>
                <w:rFonts w:ascii="Times New Roman" w:eastAsia="Times New Roman" w:hAnsi="Times New Roman" w:cs="Times New Roman"/>
                <w:b w:val="0"/>
                <w:color w:val="000000"/>
                <w:sz w:val="24"/>
                <w:szCs w:val="24"/>
              </w:rPr>
              <w:t xml:space="preserve"> share</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129.5***     (45.3</w:t>
            </w:r>
            <w:r w:rsidRPr="00AD14E2">
              <w:rPr>
                <w:rFonts w:ascii="Times New Roman" w:eastAsia="Times New Roman" w:hAnsi="Times New Roman" w:cs="Times New Roman"/>
                <w:color w:val="000000"/>
                <w:sz w:val="24"/>
                <w:szCs w:val="24"/>
              </w:rPr>
              <w:t>)</w:t>
            </w:r>
          </w:p>
        </w:tc>
        <w:tc>
          <w:tcPr>
            <w:tcW w:w="1454" w:type="dxa"/>
            <w:tcBorders>
              <w:right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0D4E9F">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4F81BD" w:themeColor="accent1"/>
            </w:tcBorders>
            <w:hideMark/>
          </w:tcPr>
          <w:p w:rsidR="00401B88" w:rsidRPr="00AD14E2" w:rsidRDefault="00401B88" w:rsidP="00AD14E2">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GIA share</w:t>
            </w:r>
          </w:p>
        </w:tc>
        <w:tc>
          <w:tcPr>
            <w:tcW w:w="1454" w:type="dxa"/>
            <w:tcBorders>
              <w:bottom w:val="single" w:sz="8" w:space="0" w:color="4F81BD" w:themeColor="accent1"/>
            </w:tcBorders>
            <w:hideMark/>
          </w:tcPr>
          <w:p w:rsidR="00401B88" w:rsidRPr="00AD14E2" w:rsidRDefault="00401B88" w:rsidP="00B179E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1546" w:type="dxa"/>
            <w:tcBorders>
              <w:bottom w:val="single" w:sz="8" w:space="0" w:color="4F81BD" w:themeColor="accent1"/>
            </w:tcBorders>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-25.3***  (7</w:t>
            </w:r>
            <w:r w:rsidRPr="00AD14E2">
              <w:rPr>
                <w:rFonts w:ascii="Times New Roman" w:eastAsia="Times New Roman" w:hAnsi="Times New Roman" w:cs="Times New Roman"/>
                <w:color w:val="000000"/>
                <w:sz w:val="24"/>
                <w:szCs w:val="24"/>
              </w:rPr>
              <w:t>.2)</w:t>
            </w:r>
          </w:p>
        </w:tc>
        <w:tc>
          <w:tcPr>
            <w:tcW w:w="1454" w:type="dxa"/>
            <w:tcBorders>
              <w:bottom w:val="single" w:sz="8" w:space="0" w:color="4F81BD" w:themeColor="accent1"/>
              <w:right w:val="single" w:sz="4" w:space="0" w:color="auto"/>
            </w:tcBorders>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trHeight w:val="312"/>
          <w:jc w:val="center"/>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auto"/>
            </w:tcBorders>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Constant</w:t>
            </w:r>
          </w:p>
        </w:tc>
        <w:tc>
          <w:tcPr>
            <w:tcW w:w="1454" w:type="dxa"/>
            <w:tcBorders>
              <w:bottom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06</w:t>
            </w:r>
          </w:p>
        </w:tc>
        <w:tc>
          <w:tcPr>
            <w:tcW w:w="1546" w:type="dxa"/>
            <w:tcBorders>
              <w:bottom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-41.9</w:t>
            </w:r>
          </w:p>
        </w:tc>
        <w:tc>
          <w:tcPr>
            <w:tcW w:w="1454" w:type="dxa"/>
            <w:tcBorders>
              <w:bottom w:val="single" w:sz="4" w:space="0" w:color="auto"/>
              <w:right w:val="single" w:sz="4" w:space="0" w:color="auto"/>
            </w:tcBorders>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0D4E9F" w:rsidRPr="000C0D71" w:rsidTr="00526912">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7289" w:type="dxa"/>
            <w:gridSpan w:val="4"/>
            <w:tcBorders>
              <w:bottom w:val="single" w:sz="4" w:space="0" w:color="auto"/>
              <w:right w:val="single" w:sz="4" w:space="0" w:color="auto"/>
            </w:tcBorders>
          </w:tcPr>
          <w:p w:rsidR="000D4E9F" w:rsidRDefault="000D4E9F" w:rsidP="00AD14E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Short Term Relation</w:t>
            </w:r>
          </w:p>
        </w:tc>
      </w:tr>
      <w:tr w:rsidR="00401B88" w:rsidRPr="000C0D71" w:rsidTr="00401B88">
        <w:trPr>
          <w:trHeight w:val="31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bCs w:val="0"/>
                <w:color w:val="000000"/>
                <w:sz w:val="24"/>
                <w:szCs w:val="24"/>
              </w:rPr>
            </w:pPr>
            <w:r w:rsidRPr="00AD14E2">
              <w:rPr>
                <w:rFonts w:ascii="Times New Roman" w:eastAsia="Times New Roman" w:hAnsi="Times New Roman" w:cs="Times New Roman"/>
                <w:b w:val="0"/>
                <w:color w:val="000000"/>
                <w:sz w:val="24"/>
                <w:szCs w:val="24"/>
              </w:rPr>
              <w:t xml:space="preserve">∆REER </w:t>
            </w:r>
          </w:p>
        </w:tc>
        <w:tc>
          <w:tcPr>
            <w:tcW w:w="1454" w:type="dxa"/>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r w:rsidRPr="00AD14E2">
              <w:rPr>
                <w:rFonts w:ascii="Times New Roman" w:eastAsia="Times New Roman" w:hAnsi="Times New Roman" w:cs="Times New Roman"/>
                <w:color w:val="000000"/>
                <w:sz w:val="24"/>
                <w:szCs w:val="24"/>
              </w:rPr>
              <w:t>**  (0.1</w:t>
            </w:r>
            <w:r>
              <w:rPr>
                <w:rFonts w:ascii="Times New Roman" w:eastAsia="Times New Roman" w:hAnsi="Times New Roman" w:cs="Times New Roman"/>
                <w:color w:val="000000"/>
                <w:sz w:val="24"/>
                <w:szCs w:val="24"/>
              </w:rPr>
              <w:t>5</w:t>
            </w:r>
            <w:r w:rsidRPr="00AD14E2">
              <w:rPr>
                <w:rFonts w:ascii="Times New Roman" w:eastAsia="Times New Roman" w:hAnsi="Times New Roman" w:cs="Times New Roman"/>
                <w:color w:val="000000"/>
                <w:sz w:val="24"/>
                <w:szCs w:val="24"/>
              </w:rPr>
              <w:t>)</w:t>
            </w: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 (0.13</w:t>
            </w:r>
            <w:r w:rsidRPr="00AD14E2">
              <w:rPr>
                <w:rFonts w:ascii="Times New Roman" w:eastAsia="Times New Roman" w:hAnsi="Times New Roman" w:cs="Times New Roman"/>
                <w:color w:val="000000"/>
                <w:sz w:val="24"/>
                <w:szCs w:val="24"/>
              </w:rPr>
              <w:t>)</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∆REER Lag(2</w:t>
            </w:r>
            <w:r w:rsidRPr="00AD14E2">
              <w:rPr>
                <w:rFonts w:ascii="Times New Roman" w:eastAsia="Times New Roman" w:hAnsi="Times New Roman" w:cs="Times New Roman"/>
                <w:b w:val="0"/>
                <w:color w:val="000000"/>
                <w:sz w:val="24"/>
                <w:szCs w:val="24"/>
              </w:rPr>
              <w:t>)</w:t>
            </w:r>
          </w:p>
        </w:tc>
        <w:tc>
          <w:tcPr>
            <w:tcW w:w="1454" w:type="dxa"/>
            <w:hideMark/>
          </w:tcPr>
          <w:p w:rsidR="00401B88" w:rsidRPr="00AD14E2" w:rsidRDefault="00401B88" w:rsidP="00FC72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 xml:space="preserve"> </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 xml:space="preserve"> -0.27** (0.14)</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 xml:space="preserve">∆Mining </w:t>
            </w:r>
            <w:r>
              <w:rPr>
                <w:rFonts w:ascii="Times New Roman" w:eastAsia="Times New Roman" w:hAnsi="Times New Roman" w:cs="Times New Roman"/>
                <w:b w:val="0"/>
                <w:color w:val="000000"/>
                <w:sz w:val="24"/>
                <w:szCs w:val="24"/>
              </w:rPr>
              <w:t>share</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4.35 ***     (1</w:t>
            </w:r>
            <w:r w:rsidRPr="00AD14E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w:t>
            </w:r>
            <w:r w:rsidRPr="00AD14E2">
              <w:rPr>
                <w:rFonts w:ascii="Times New Roman" w:eastAsia="Times New Roman" w:hAnsi="Times New Roman" w:cs="Times New Roman"/>
                <w:color w:val="000000"/>
                <w:sz w:val="24"/>
                <w:szCs w:val="24"/>
              </w:rPr>
              <w:t>)</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w:t>
            </w:r>
            <w:r w:rsidRPr="00AD14E2">
              <w:rPr>
                <w:rFonts w:ascii="Times New Roman" w:eastAsia="Times New Roman" w:hAnsi="Times New Roman" w:cs="Times New Roman"/>
                <w:color w:val="000000"/>
                <w:sz w:val="24"/>
                <w:szCs w:val="24"/>
              </w:rPr>
              <w:t>*** (0.75)</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∆Mining</w:t>
            </w:r>
            <w:r>
              <w:rPr>
                <w:rFonts w:ascii="Times New Roman" w:eastAsia="Times New Roman" w:hAnsi="Times New Roman" w:cs="Times New Roman"/>
                <w:b w:val="0"/>
                <w:color w:val="000000"/>
                <w:sz w:val="24"/>
                <w:szCs w:val="24"/>
              </w:rPr>
              <w:t xml:space="preserve"> share</w:t>
            </w:r>
            <w:r w:rsidRPr="00AD14E2">
              <w:rPr>
                <w:rFonts w:ascii="Times New Roman" w:eastAsia="Times New Roman" w:hAnsi="Times New Roman" w:cs="Times New Roman"/>
                <w:b w:val="0"/>
                <w:color w:val="000000"/>
                <w:sz w:val="24"/>
                <w:szCs w:val="24"/>
              </w:rPr>
              <w:t xml:space="preserve"> Lag(2)</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r w:rsidRPr="00AD14E2">
              <w:rPr>
                <w:rFonts w:ascii="Times New Roman" w:eastAsia="Times New Roman" w:hAnsi="Times New Roman" w:cs="Times New Roman"/>
                <w:color w:val="000000"/>
                <w:sz w:val="24"/>
                <w:szCs w:val="24"/>
              </w:rPr>
              <w:t>*** (0.81)</w:t>
            </w: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∆Remit. Lag(3)</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 xml:space="preserve"> -0.04***   (0.02)</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∆Copper Lag(2)</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0.001*** (0.0006)</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30272D">
              <w:rPr>
                <w:rFonts w:ascii="Times New Roman" w:eastAsia="Times New Roman" w:hAnsi="Times New Roman" w:cs="Times New Roman"/>
                <w:b w:val="0"/>
                <w:color w:val="auto"/>
                <w:sz w:val="24"/>
                <w:szCs w:val="24"/>
              </w:rPr>
              <w:t>∆NFA share</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-14.2*** (5.5</w:t>
            </w:r>
            <w:r w:rsidRPr="00AD14E2">
              <w:rPr>
                <w:rFonts w:ascii="Times New Roman" w:eastAsia="Times New Roman" w:hAnsi="Times New Roman" w:cs="Times New Roman"/>
                <w:color w:val="000000"/>
                <w:sz w:val="24"/>
                <w:szCs w:val="24"/>
              </w:rPr>
              <w:t>)</w:t>
            </w: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w:t>
            </w:r>
            <w:r w:rsidRPr="00D92F97">
              <w:rPr>
                <w:rFonts w:ascii="Times New Roman" w:eastAsia="Times New Roman" w:hAnsi="Times New Roman" w:cs="Times New Roman"/>
                <w:b w:val="0"/>
                <w:color w:val="auto"/>
                <w:sz w:val="24"/>
                <w:szCs w:val="24"/>
              </w:rPr>
              <w:t>M2</w:t>
            </w:r>
            <w:r w:rsidRPr="004B09B7">
              <w:rPr>
                <w:rFonts w:ascii="Times New Roman" w:eastAsia="Times New Roman" w:hAnsi="Times New Roman" w:cs="Times New Roman"/>
                <w:b w:val="0"/>
                <w:color w:val="auto"/>
                <w:sz w:val="24"/>
                <w:szCs w:val="24"/>
              </w:rPr>
              <w:t xml:space="preserve"> share</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   (4</w:t>
            </w:r>
            <w:r w:rsidRPr="00AD14E2">
              <w:rPr>
                <w:rFonts w:ascii="Times New Roman" w:eastAsia="Times New Roman" w:hAnsi="Times New Roman" w:cs="Times New Roman"/>
                <w:color w:val="000000"/>
                <w:sz w:val="24"/>
                <w:szCs w:val="24"/>
              </w:rPr>
              <w:t>.7)</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trHeight w:val="625"/>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8E0AE6">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w:t>
            </w:r>
            <w:r>
              <w:rPr>
                <w:rFonts w:ascii="Times New Roman" w:eastAsia="Times New Roman" w:hAnsi="Times New Roman" w:cs="Times New Roman"/>
                <w:b w:val="0"/>
                <w:color w:val="000000"/>
                <w:sz w:val="24"/>
                <w:szCs w:val="24"/>
              </w:rPr>
              <w:t>GIA</w:t>
            </w:r>
            <w:r w:rsidRPr="00AD14E2">
              <w:rPr>
                <w:rFonts w:ascii="Times New Roman" w:eastAsia="Times New Roman" w:hAnsi="Times New Roman" w:cs="Times New Roman"/>
                <w:b w:val="0"/>
                <w:color w:val="000000"/>
                <w:sz w:val="24"/>
                <w:szCs w:val="24"/>
              </w:rPr>
              <w:t xml:space="preserve"> </w:t>
            </w:r>
            <w:r>
              <w:rPr>
                <w:rFonts w:ascii="Times New Roman" w:eastAsia="Times New Roman" w:hAnsi="Times New Roman" w:cs="Times New Roman"/>
                <w:b w:val="0"/>
                <w:color w:val="000000"/>
                <w:sz w:val="24"/>
                <w:szCs w:val="24"/>
              </w:rPr>
              <w:t xml:space="preserve">share </w:t>
            </w:r>
            <w:r w:rsidRPr="00AD14E2">
              <w:rPr>
                <w:rFonts w:ascii="Times New Roman" w:eastAsia="Times New Roman" w:hAnsi="Times New Roman" w:cs="Times New Roman"/>
                <w:b w:val="0"/>
                <w:color w:val="000000"/>
                <w:sz w:val="24"/>
                <w:szCs w:val="24"/>
              </w:rPr>
              <w:t>Lag(3)</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46"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-6.59**       (2.4</w:t>
            </w:r>
            <w:r w:rsidRPr="00AD14E2">
              <w:rPr>
                <w:rFonts w:ascii="Times New Roman" w:eastAsia="Times New Roman" w:hAnsi="Times New Roman" w:cs="Times New Roman"/>
                <w:color w:val="000000"/>
                <w:sz w:val="24"/>
                <w:szCs w:val="24"/>
              </w:rPr>
              <w:t>)</w:t>
            </w:r>
          </w:p>
        </w:tc>
        <w:tc>
          <w:tcPr>
            <w:tcW w:w="1454" w:type="dxa"/>
            <w:hideMark/>
          </w:tcPr>
          <w:p w:rsidR="00401B88" w:rsidRPr="00AD14E2" w:rsidRDefault="00401B88" w:rsidP="00AD14E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401B88" w:rsidRPr="000C0D71" w:rsidTr="00401B88">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835" w:type="dxa"/>
            <w:hideMark/>
          </w:tcPr>
          <w:p w:rsidR="00401B88" w:rsidRPr="00AD14E2" w:rsidRDefault="00401B88" w:rsidP="00AD14E2">
            <w:pPr>
              <w:jc w:val="center"/>
              <w:rPr>
                <w:rFonts w:ascii="Times New Roman" w:eastAsia="Times New Roman" w:hAnsi="Times New Roman" w:cs="Times New Roman"/>
                <w:b w:val="0"/>
                <w:color w:val="000000"/>
                <w:sz w:val="24"/>
                <w:szCs w:val="24"/>
              </w:rPr>
            </w:pPr>
            <w:r w:rsidRPr="00AD14E2">
              <w:rPr>
                <w:rFonts w:ascii="Times New Roman" w:eastAsia="Times New Roman" w:hAnsi="Times New Roman" w:cs="Times New Roman"/>
                <w:b w:val="0"/>
                <w:color w:val="000000"/>
                <w:sz w:val="24"/>
                <w:szCs w:val="24"/>
              </w:rPr>
              <w:t>Constant</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1.11</w:t>
            </w:r>
          </w:p>
        </w:tc>
        <w:tc>
          <w:tcPr>
            <w:tcW w:w="1546"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AD14E2">
              <w:rPr>
                <w:rFonts w:ascii="Times New Roman" w:eastAsia="Times New Roman" w:hAnsi="Times New Roman" w:cs="Times New Roman"/>
                <w:color w:val="000000"/>
                <w:sz w:val="24"/>
                <w:szCs w:val="24"/>
              </w:rPr>
              <w:t>-0.003</w:t>
            </w:r>
          </w:p>
        </w:tc>
        <w:tc>
          <w:tcPr>
            <w:tcW w:w="1454" w:type="dxa"/>
            <w:hideMark/>
          </w:tcPr>
          <w:p w:rsidR="00401B88" w:rsidRPr="00AD14E2" w:rsidRDefault="00401B88" w:rsidP="00AD14E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w:t>
            </w:r>
            <w:r w:rsidRPr="00AD14E2">
              <w:rPr>
                <w:rFonts w:ascii="Times New Roman" w:eastAsia="Times New Roman" w:hAnsi="Times New Roman" w:cs="Times New Roman"/>
                <w:color w:val="000000"/>
                <w:sz w:val="24"/>
                <w:szCs w:val="24"/>
              </w:rPr>
              <w:t>5</w:t>
            </w:r>
          </w:p>
        </w:tc>
      </w:tr>
    </w:tbl>
    <w:p w:rsidR="003233D6" w:rsidRPr="00FB4B91" w:rsidRDefault="00FB4B91" w:rsidP="00FB4B91">
      <w:pPr>
        <w:spacing w:before="120" w:after="0" w:line="480" w:lineRule="auto"/>
        <w:jc w:val="right"/>
        <w:rPr>
          <w:rFonts w:ascii="Times New Roman" w:hAnsi="Times New Roman" w:cs="Times New Roman"/>
          <w:i/>
          <w:sz w:val="24"/>
          <w:szCs w:val="24"/>
        </w:rPr>
      </w:pPr>
      <w:r w:rsidRPr="00FB4B91">
        <w:rPr>
          <w:rFonts w:ascii="Times New Roman" w:hAnsi="Times New Roman" w:cs="Times New Roman"/>
          <w:i/>
          <w:sz w:val="24"/>
          <w:szCs w:val="24"/>
        </w:rPr>
        <w:t>Table</w:t>
      </w:r>
      <w:r w:rsidR="003011F7">
        <w:rPr>
          <w:rFonts w:ascii="Times New Roman" w:hAnsi="Times New Roman" w:cs="Times New Roman"/>
          <w:i/>
          <w:sz w:val="24"/>
          <w:szCs w:val="24"/>
        </w:rPr>
        <w:t xml:space="preserve"> 4.</w:t>
      </w:r>
      <w:r w:rsidRPr="00FB4B91">
        <w:rPr>
          <w:rFonts w:ascii="Times New Roman" w:hAnsi="Times New Roman" w:cs="Times New Roman"/>
          <w:i/>
          <w:sz w:val="24"/>
          <w:szCs w:val="24"/>
        </w:rPr>
        <w:t xml:space="preserve"> Empirical Analysis</w:t>
      </w:r>
      <w:r w:rsidR="009D23D6">
        <w:rPr>
          <w:rFonts w:ascii="Times New Roman" w:hAnsi="Times New Roman" w:cs="Times New Roman"/>
          <w:i/>
          <w:sz w:val="24"/>
          <w:szCs w:val="24"/>
        </w:rPr>
        <w:t>. Model 1-3</w:t>
      </w:r>
      <w:r>
        <w:rPr>
          <w:rFonts w:ascii="Times New Roman" w:hAnsi="Times New Roman" w:cs="Times New Roman"/>
          <w:i/>
          <w:sz w:val="24"/>
          <w:szCs w:val="24"/>
        </w:rPr>
        <w:t xml:space="preserve"> </w:t>
      </w:r>
    </w:p>
    <w:p w:rsidR="00401B88" w:rsidRDefault="00401B88" w:rsidP="00801714">
      <w:pPr>
        <w:spacing w:after="0" w:line="480" w:lineRule="auto"/>
        <w:ind w:firstLine="720"/>
        <w:jc w:val="both"/>
        <w:rPr>
          <w:rFonts w:ascii="Times New Roman" w:hAnsi="Times New Roman" w:cs="Times New Roman"/>
          <w:sz w:val="24"/>
          <w:szCs w:val="24"/>
        </w:rPr>
      </w:pPr>
    </w:p>
    <w:p w:rsidR="0073430D" w:rsidRDefault="0073430D" w:rsidP="0080171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relationship shows REER to be significantly dependent on coppe</w:t>
      </w:r>
      <w:r w:rsidR="00AC71B9">
        <w:rPr>
          <w:rFonts w:ascii="Times New Roman" w:hAnsi="Times New Roman" w:cs="Times New Roman"/>
          <w:sz w:val="24"/>
          <w:szCs w:val="24"/>
        </w:rPr>
        <w:t>r prices in the world market. A unit</w:t>
      </w:r>
      <w:r>
        <w:rPr>
          <w:rFonts w:ascii="Times New Roman" w:hAnsi="Times New Roman" w:cs="Times New Roman"/>
          <w:sz w:val="24"/>
          <w:szCs w:val="24"/>
        </w:rPr>
        <w:t xml:space="preserve"> increase in copper prices increases REER both in short term and long term</w:t>
      </w:r>
      <w:r w:rsidR="00216058">
        <w:rPr>
          <w:rFonts w:ascii="Times New Roman" w:hAnsi="Times New Roman" w:cs="Times New Roman"/>
          <w:sz w:val="24"/>
          <w:szCs w:val="24"/>
        </w:rPr>
        <w:t xml:space="preserve"> by </w:t>
      </w:r>
      <w:r w:rsidR="00216058" w:rsidRPr="00AD14E2">
        <w:rPr>
          <w:rFonts w:ascii="Times New Roman" w:eastAsia="Times New Roman" w:hAnsi="Times New Roman" w:cs="Times New Roman"/>
          <w:color w:val="000000"/>
          <w:sz w:val="24"/>
          <w:szCs w:val="24"/>
        </w:rPr>
        <w:t>0.001</w:t>
      </w:r>
      <w:r w:rsidR="00216058">
        <w:rPr>
          <w:rFonts w:ascii="Times New Roman" w:eastAsia="Times New Roman" w:hAnsi="Times New Roman" w:cs="Times New Roman"/>
          <w:color w:val="000000"/>
          <w:sz w:val="24"/>
          <w:szCs w:val="24"/>
        </w:rPr>
        <w:t xml:space="preserve"> and</w:t>
      </w:r>
      <w:r w:rsidR="00216058">
        <w:rPr>
          <w:rFonts w:ascii="Times New Roman" w:hAnsi="Times New Roman" w:cs="Times New Roman"/>
          <w:sz w:val="24"/>
          <w:szCs w:val="24"/>
        </w:rPr>
        <w:t xml:space="preserve"> </w:t>
      </w:r>
      <w:r w:rsidR="00BE14DD" w:rsidRPr="00BE14DD">
        <w:rPr>
          <w:rFonts w:ascii="Times New Roman" w:eastAsia="Times New Roman" w:hAnsi="Times New Roman" w:cs="Times New Roman"/>
          <w:color w:val="000000"/>
          <w:sz w:val="24"/>
          <w:szCs w:val="24"/>
        </w:rPr>
        <w:t>0.002</w:t>
      </w:r>
      <w:r w:rsidR="00AC71B9" w:rsidRPr="00FD3FC3">
        <w:rPr>
          <w:rFonts w:ascii="Times New Roman" w:hAnsi="Times New Roman" w:cs="Times New Roman"/>
          <w:color w:val="FF0000"/>
          <w:sz w:val="24"/>
          <w:szCs w:val="24"/>
        </w:rPr>
        <w:t xml:space="preserve"> </w:t>
      </w:r>
      <w:r w:rsidR="00A93473">
        <w:rPr>
          <w:rFonts w:ascii="Times New Roman" w:hAnsi="Times New Roman" w:cs="Times New Roman"/>
          <w:sz w:val="24"/>
          <w:szCs w:val="24"/>
        </w:rPr>
        <w:t>units</w:t>
      </w:r>
      <w:r w:rsidR="00AC71B9">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00F74DE3">
        <w:rPr>
          <w:rFonts w:ascii="Times New Roman" w:hAnsi="Times New Roman" w:cs="Times New Roman"/>
          <w:sz w:val="24"/>
          <w:szCs w:val="24"/>
        </w:rPr>
        <w:t xml:space="preserve">Net foreign assets appreciate </w:t>
      </w:r>
      <w:r w:rsidR="00216058">
        <w:rPr>
          <w:rFonts w:ascii="Times New Roman" w:hAnsi="Times New Roman" w:cs="Times New Roman"/>
          <w:sz w:val="24"/>
          <w:szCs w:val="24"/>
        </w:rPr>
        <w:t xml:space="preserve">the REER in the long run by </w:t>
      </w:r>
      <w:r w:rsidR="00B63704" w:rsidRPr="00B63704">
        <w:rPr>
          <w:rFonts w:ascii="Times New Roman" w:hAnsi="Times New Roman" w:cs="Times New Roman"/>
          <w:sz w:val="24"/>
          <w:szCs w:val="24"/>
        </w:rPr>
        <w:t>7</w:t>
      </w:r>
      <w:r w:rsidR="00A93473">
        <w:rPr>
          <w:rFonts w:ascii="Times New Roman" w:hAnsi="Times New Roman" w:cs="Times New Roman"/>
          <w:sz w:val="24"/>
          <w:szCs w:val="24"/>
        </w:rPr>
        <w:t xml:space="preserve"> units</w:t>
      </w:r>
      <w:r w:rsidR="00F74DE3" w:rsidRPr="00B63704">
        <w:rPr>
          <w:rFonts w:ascii="Times New Roman" w:hAnsi="Times New Roman" w:cs="Times New Roman"/>
          <w:sz w:val="24"/>
          <w:szCs w:val="24"/>
        </w:rPr>
        <w:t>.</w:t>
      </w:r>
      <w:r w:rsidR="00F74DE3">
        <w:rPr>
          <w:rFonts w:ascii="Times New Roman" w:hAnsi="Times New Roman" w:cs="Times New Roman"/>
          <w:sz w:val="24"/>
          <w:szCs w:val="24"/>
        </w:rPr>
        <w:t xml:space="preserve"> </w:t>
      </w:r>
      <w:r>
        <w:rPr>
          <w:rFonts w:ascii="Times New Roman" w:hAnsi="Times New Roman" w:cs="Times New Roman"/>
          <w:sz w:val="24"/>
          <w:szCs w:val="24"/>
        </w:rPr>
        <w:t>M2, on the other hand, is an indicator of negative governmental policy, since increasing cash flow into the market is a method of manipulating the REER the</w:t>
      </w:r>
      <w:r w:rsidRPr="00F74DE3">
        <w:rPr>
          <w:rFonts w:ascii="Times New Roman" w:hAnsi="Times New Roman" w:cs="Times New Roman"/>
          <w:sz w:val="24"/>
          <w:szCs w:val="24"/>
        </w:rPr>
        <w:t xml:space="preserve"> decrease</w:t>
      </w:r>
      <w:r>
        <w:rPr>
          <w:rFonts w:ascii="Times New Roman" w:hAnsi="Times New Roman" w:cs="Times New Roman"/>
          <w:sz w:val="24"/>
          <w:szCs w:val="24"/>
        </w:rPr>
        <w:t>. The artificial reduction of REER is only short term</w:t>
      </w:r>
      <w:r w:rsidR="00F74DE3">
        <w:rPr>
          <w:rFonts w:ascii="Times New Roman" w:hAnsi="Times New Roman" w:cs="Times New Roman"/>
          <w:sz w:val="24"/>
          <w:szCs w:val="24"/>
        </w:rPr>
        <w:t xml:space="preserve"> by 10.5</w:t>
      </w:r>
      <w:r>
        <w:rPr>
          <w:rFonts w:ascii="Times New Roman" w:hAnsi="Times New Roman" w:cs="Times New Roman"/>
          <w:sz w:val="24"/>
          <w:szCs w:val="24"/>
        </w:rPr>
        <w:t xml:space="preserve">. This is verified by the model, since M2 is not statistically significant in the long term. </w:t>
      </w:r>
    </w:p>
    <w:p w:rsidR="0073430D" w:rsidRPr="00CE7DB9" w:rsidRDefault="0073430D" w:rsidP="00CE7DB9">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The </w:t>
      </w:r>
      <w:r w:rsidR="00216058">
        <w:rPr>
          <w:rFonts w:ascii="Times New Roman" w:hAnsi="Times New Roman" w:cs="Times New Roman"/>
          <w:sz w:val="24"/>
          <w:szCs w:val="24"/>
        </w:rPr>
        <w:t xml:space="preserve">next model </w:t>
      </w:r>
      <w:r w:rsidR="002769D8">
        <w:rPr>
          <w:rFonts w:ascii="Times New Roman" w:hAnsi="Times New Roman" w:cs="Times New Roman"/>
          <w:sz w:val="24"/>
          <w:szCs w:val="24"/>
        </w:rPr>
        <w:t>substitutes</w:t>
      </w:r>
      <w:r>
        <w:rPr>
          <w:rFonts w:ascii="Times New Roman" w:hAnsi="Times New Roman" w:cs="Times New Roman"/>
          <w:sz w:val="24"/>
          <w:szCs w:val="24"/>
        </w:rPr>
        <w:t xml:space="preserve"> copper prices with mining production as a share of GDP structure. </w:t>
      </w:r>
      <w:r w:rsidR="00A35EB6">
        <w:rPr>
          <w:rFonts w:ascii="Times New Roman" w:hAnsi="Times New Roman" w:cs="Times New Roman"/>
          <w:sz w:val="24"/>
          <w:szCs w:val="24"/>
        </w:rPr>
        <w:t>The variables are not included in the model simultaneously, since their correlation created</w:t>
      </w:r>
      <w:r>
        <w:rPr>
          <w:rFonts w:ascii="Times New Roman" w:hAnsi="Times New Roman" w:cs="Times New Roman"/>
          <w:sz w:val="24"/>
          <w:szCs w:val="24"/>
        </w:rPr>
        <w:t xml:space="preserve"> </w:t>
      </w:r>
      <w:r w:rsidR="00A35EB6" w:rsidRPr="00A35EB6">
        <w:rPr>
          <w:rFonts w:ascii="Times New Roman" w:hAnsi="Times New Roman" w:cs="Times New Roman"/>
          <w:sz w:val="24"/>
          <w:szCs w:val="24"/>
        </w:rPr>
        <w:t>multicollinearity</w:t>
      </w:r>
      <w:r w:rsidR="00A35EB6">
        <w:rPr>
          <w:rFonts w:ascii="Times New Roman" w:hAnsi="Times New Roman" w:cs="Times New Roman"/>
          <w:sz w:val="24"/>
          <w:szCs w:val="24"/>
        </w:rPr>
        <w:t xml:space="preserve"> in the model.  </w:t>
      </w:r>
      <w:r w:rsidR="00C87413">
        <w:rPr>
          <w:rFonts w:ascii="Times New Roman" w:hAnsi="Times New Roman" w:cs="Times New Roman"/>
          <w:sz w:val="24"/>
          <w:szCs w:val="24"/>
        </w:rPr>
        <w:t>Mining production shows a high</w:t>
      </w:r>
      <w:r w:rsidR="008365BC">
        <w:rPr>
          <w:rFonts w:ascii="Times New Roman" w:hAnsi="Times New Roman" w:cs="Times New Roman"/>
          <w:sz w:val="24"/>
          <w:szCs w:val="24"/>
        </w:rPr>
        <w:t>er intensity</w:t>
      </w:r>
      <w:r w:rsidR="002769D8">
        <w:rPr>
          <w:rFonts w:ascii="Times New Roman" w:hAnsi="Times New Roman" w:cs="Times New Roman"/>
          <w:sz w:val="24"/>
          <w:szCs w:val="24"/>
        </w:rPr>
        <w:t xml:space="preserve"> </w:t>
      </w:r>
      <w:r w:rsidR="008365BC">
        <w:rPr>
          <w:rFonts w:ascii="Times New Roman" w:hAnsi="Times New Roman" w:cs="Times New Roman"/>
          <w:sz w:val="24"/>
          <w:szCs w:val="24"/>
        </w:rPr>
        <w:t xml:space="preserve">and effect on the </w:t>
      </w:r>
      <w:r w:rsidR="00C87413">
        <w:rPr>
          <w:rFonts w:ascii="Times New Roman" w:hAnsi="Times New Roman" w:cs="Times New Roman"/>
          <w:sz w:val="24"/>
          <w:szCs w:val="24"/>
        </w:rPr>
        <w:t>REER</w:t>
      </w:r>
      <w:r w:rsidR="002769D8">
        <w:rPr>
          <w:rFonts w:ascii="Times New Roman" w:hAnsi="Times New Roman" w:cs="Times New Roman"/>
          <w:sz w:val="24"/>
          <w:szCs w:val="24"/>
        </w:rPr>
        <w:t xml:space="preserve">, with </w:t>
      </w:r>
      <w:r w:rsidR="00B63704">
        <w:rPr>
          <w:rFonts w:ascii="Times New Roman" w:eastAsia="Times New Roman" w:hAnsi="Times New Roman" w:cs="Times New Roman"/>
          <w:color w:val="000000"/>
          <w:sz w:val="24"/>
          <w:szCs w:val="24"/>
        </w:rPr>
        <w:t>0.47</w:t>
      </w:r>
      <w:r w:rsidR="00A93473">
        <w:rPr>
          <w:rFonts w:ascii="Times New Roman" w:eastAsia="Times New Roman" w:hAnsi="Times New Roman" w:cs="Times New Roman"/>
          <w:color w:val="000000"/>
          <w:sz w:val="24"/>
          <w:szCs w:val="24"/>
        </w:rPr>
        <w:t xml:space="preserve"> unit</w:t>
      </w:r>
      <w:r w:rsidR="002769D8">
        <w:rPr>
          <w:rFonts w:ascii="Times New Roman" w:eastAsia="Times New Roman" w:hAnsi="Times New Roman" w:cs="Times New Roman"/>
          <w:color w:val="000000"/>
          <w:sz w:val="24"/>
          <w:szCs w:val="24"/>
        </w:rPr>
        <w:t xml:space="preserve"> in</w:t>
      </w:r>
      <w:r w:rsidR="00A93473">
        <w:rPr>
          <w:rFonts w:ascii="Times New Roman" w:eastAsia="Times New Roman" w:hAnsi="Times New Roman" w:cs="Times New Roman"/>
          <w:color w:val="000000"/>
          <w:sz w:val="24"/>
          <w:szCs w:val="24"/>
        </w:rPr>
        <w:t>crease in the long run and 4.35 unit</w:t>
      </w:r>
      <w:r w:rsidR="002769D8">
        <w:rPr>
          <w:rFonts w:ascii="Times New Roman" w:eastAsia="Times New Roman" w:hAnsi="Times New Roman" w:cs="Times New Roman"/>
          <w:color w:val="000000"/>
          <w:sz w:val="24"/>
          <w:szCs w:val="24"/>
        </w:rPr>
        <w:t xml:space="preserve"> increase in the short run,</w:t>
      </w:r>
      <w:r w:rsidR="00C87413">
        <w:rPr>
          <w:rFonts w:ascii="Times New Roman" w:hAnsi="Times New Roman" w:cs="Times New Roman"/>
          <w:sz w:val="24"/>
          <w:szCs w:val="24"/>
        </w:rPr>
        <w:t xml:space="preserve"> thus verifying the theory that </w:t>
      </w:r>
      <w:r w:rsidR="00A615EE">
        <w:rPr>
          <w:rFonts w:ascii="Times New Roman" w:hAnsi="Times New Roman" w:cs="Times New Roman"/>
          <w:sz w:val="24"/>
          <w:szCs w:val="24"/>
        </w:rPr>
        <w:t>mining production appreciates REER</w:t>
      </w:r>
      <w:r w:rsidR="002769D8">
        <w:rPr>
          <w:rFonts w:ascii="Times New Roman" w:hAnsi="Times New Roman" w:cs="Times New Roman"/>
          <w:sz w:val="24"/>
          <w:szCs w:val="24"/>
        </w:rPr>
        <w:t>.</w:t>
      </w:r>
      <w:r w:rsidR="002769D8" w:rsidRPr="002769D8">
        <w:rPr>
          <w:rFonts w:ascii="Times New Roman" w:hAnsi="Times New Roman" w:cs="Times New Roman"/>
          <w:sz w:val="24"/>
          <w:szCs w:val="24"/>
        </w:rPr>
        <w:t xml:space="preserve"> </w:t>
      </w:r>
      <w:r w:rsidR="00CE7DB9" w:rsidRPr="002769D8">
        <w:rPr>
          <w:rFonts w:ascii="Times New Roman" w:hAnsi="Times New Roman" w:cs="Times New Roman"/>
          <w:sz w:val="24"/>
          <w:szCs w:val="24"/>
        </w:rPr>
        <w:t xml:space="preserve">As predicted in the theory a unit increase in the share of governmental investment into assets in </w:t>
      </w:r>
      <w:r w:rsidR="002769D8" w:rsidRPr="002769D8">
        <w:rPr>
          <w:rFonts w:ascii="Times New Roman" w:hAnsi="Times New Roman" w:cs="Times New Roman"/>
          <w:sz w:val="24"/>
          <w:szCs w:val="24"/>
        </w:rPr>
        <w:t>the GDP decreases the REER by 25</w:t>
      </w:r>
      <w:r w:rsidR="00A93473">
        <w:rPr>
          <w:rFonts w:ascii="Times New Roman" w:hAnsi="Times New Roman" w:cs="Times New Roman"/>
          <w:sz w:val="24"/>
          <w:szCs w:val="24"/>
        </w:rPr>
        <w:t>.3</w:t>
      </w:r>
      <w:r w:rsidR="00CE7DB9" w:rsidRPr="002769D8">
        <w:rPr>
          <w:rFonts w:ascii="Times New Roman" w:hAnsi="Times New Roman" w:cs="Times New Roman"/>
          <w:sz w:val="24"/>
          <w:szCs w:val="24"/>
        </w:rPr>
        <w:t xml:space="preserve"> as it is an indicator of positive governmental policy</w:t>
      </w:r>
      <w:r w:rsidR="00C000E6">
        <w:rPr>
          <w:rFonts w:ascii="Times New Roman" w:hAnsi="Times New Roman" w:cs="Times New Roman"/>
          <w:sz w:val="24"/>
          <w:szCs w:val="24"/>
        </w:rPr>
        <w:t xml:space="preserve"> to avoid spending effects, may be an indicator of technological progress</w:t>
      </w:r>
      <w:r w:rsidR="00CE7DB9" w:rsidRPr="002769D8">
        <w:rPr>
          <w:rFonts w:ascii="Times New Roman" w:hAnsi="Times New Roman" w:cs="Times New Roman"/>
          <w:sz w:val="24"/>
          <w:szCs w:val="24"/>
        </w:rPr>
        <w:t xml:space="preserve"> and diversification of the economy.</w:t>
      </w:r>
      <w:r w:rsidR="00C000E6">
        <w:rPr>
          <w:rFonts w:ascii="Times New Roman" w:hAnsi="Times New Roman" w:cs="Times New Roman"/>
          <w:sz w:val="24"/>
          <w:szCs w:val="24"/>
        </w:rPr>
        <w:t xml:space="preserve"> The negative sign of the relationship speaks of investment with high import contents, which have a negative effect on the trade of balance. </w:t>
      </w:r>
    </w:p>
    <w:p w:rsidR="009D23D6" w:rsidRDefault="00C87413" w:rsidP="004008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third model checks for the theory of international cash flow into</w:t>
      </w:r>
      <w:r w:rsidR="00C000E6">
        <w:rPr>
          <w:rFonts w:ascii="Times New Roman" w:hAnsi="Times New Roman" w:cs="Times New Roman"/>
          <w:sz w:val="24"/>
          <w:szCs w:val="24"/>
        </w:rPr>
        <w:t xml:space="preserve"> the country having an impact of developing</w:t>
      </w:r>
      <w:r>
        <w:rPr>
          <w:rFonts w:ascii="Times New Roman" w:hAnsi="Times New Roman" w:cs="Times New Roman"/>
          <w:sz w:val="24"/>
          <w:szCs w:val="24"/>
        </w:rPr>
        <w:t xml:space="preserve"> DD. </w:t>
      </w:r>
      <w:r w:rsidR="004F73D5">
        <w:rPr>
          <w:rFonts w:ascii="Times New Roman" w:hAnsi="Times New Roman" w:cs="Times New Roman"/>
          <w:sz w:val="24"/>
          <w:szCs w:val="24"/>
        </w:rPr>
        <w:t>The model had two co-integrated relations</w:t>
      </w:r>
      <w:r w:rsidR="00795ECC">
        <w:rPr>
          <w:rFonts w:ascii="Times New Roman" w:hAnsi="Times New Roman" w:cs="Times New Roman"/>
          <w:sz w:val="24"/>
          <w:szCs w:val="24"/>
        </w:rPr>
        <w:t xml:space="preserve">, since there is </w:t>
      </w:r>
      <w:r w:rsidR="006A1B99">
        <w:rPr>
          <w:rFonts w:ascii="Times New Roman" w:hAnsi="Times New Roman" w:cs="Times New Roman"/>
          <w:sz w:val="24"/>
          <w:szCs w:val="24"/>
        </w:rPr>
        <w:t>causality</w:t>
      </w:r>
      <w:r w:rsidR="00795ECC">
        <w:rPr>
          <w:rFonts w:ascii="Times New Roman" w:hAnsi="Times New Roman" w:cs="Times New Roman"/>
          <w:sz w:val="24"/>
          <w:szCs w:val="24"/>
        </w:rPr>
        <w:t xml:space="preserve"> between REER and NFA variables</w:t>
      </w:r>
      <w:r w:rsidR="004F73D5">
        <w:rPr>
          <w:rFonts w:ascii="Times New Roman" w:hAnsi="Times New Roman" w:cs="Times New Roman"/>
          <w:sz w:val="24"/>
          <w:szCs w:val="24"/>
        </w:rPr>
        <w:t>.</w:t>
      </w:r>
      <w:r w:rsidR="00BF1849">
        <w:rPr>
          <w:rStyle w:val="FootnoteReference"/>
          <w:rFonts w:ascii="Times New Roman" w:hAnsi="Times New Roman" w:cs="Times New Roman"/>
          <w:sz w:val="24"/>
          <w:szCs w:val="24"/>
        </w:rPr>
        <w:footnoteReference w:id="9"/>
      </w:r>
      <w:r w:rsidR="004F73D5">
        <w:rPr>
          <w:rFonts w:ascii="Times New Roman" w:hAnsi="Times New Roman" w:cs="Times New Roman"/>
          <w:sz w:val="24"/>
          <w:szCs w:val="24"/>
        </w:rPr>
        <w:t xml:space="preserve"> </w:t>
      </w:r>
      <w:r w:rsidR="0036710E">
        <w:rPr>
          <w:rFonts w:ascii="Times New Roman" w:hAnsi="Times New Roman" w:cs="Times New Roman"/>
          <w:sz w:val="24"/>
          <w:szCs w:val="24"/>
        </w:rPr>
        <w:t xml:space="preserve">The causality lies in the foreign investments: a low RER makes domestic assets less attractive for both domestic and foreign investment, because the assets offer lower real rates of return. On the other hand, a reduction in foreign investment into assets decreases the demand for the domestic currency, thus increasing </w:t>
      </w:r>
      <w:r w:rsidR="0036710E">
        <w:rPr>
          <w:rFonts w:ascii="Times New Roman" w:hAnsi="Times New Roman" w:cs="Times New Roman"/>
          <w:sz w:val="24"/>
          <w:szCs w:val="24"/>
        </w:rPr>
        <w:lastRenderedPageBreak/>
        <w:t xml:space="preserve">REER. </w:t>
      </w:r>
      <w:r>
        <w:rPr>
          <w:rFonts w:ascii="Times New Roman" w:hAnsi="Times New Roman" w:cs="Times New Roman"/>
          <w:sz w:val="24"/>
          <w:szCs w:val="24"/>
        </w:rPr>
        <w:t>As expected</w:t>
      </w:r>
      <w:r w:rsidR="00B648B8">
        <w:rPr>
          <w:rFonts w:ascii="Times New Roman" w:hAnsi="Times New Roman" w:cs="Times New Roman"/>
          <w:sz w:val="24"/>
          <w:szCs w:val="24"/>
        </w:rPr>
        <w:t>,</w:t>
      </w:r>
      <w:r>
        <w:rPr>
          <w:rFonts w:ascii="Times New Roman" w:hAnsi="Times New Roman" w:cs="Times New Roman"/>
          <w:sz w:val="24"/>
          <w:szCs w:val="24"/>
        </w:rPr>
        <w:t xml:space="preserve"> the increase in remittances increases the real effecting exchange rate both in long and short term. Although the effect of remittances is not as intense as the effect of mining production, it contributed to developing DD. </w:t>
      </w:r>
      <w:r w:rsidR="000756C0">
        <w:rPr>
          <w:rFonts w:ascii="Times New Roman" w:hAnsi="Times New Roman" w:cs="Times New Roman"/>
          <w:sz w:val="24"/>
          <w:szCs w:val="24"/>
        </w:rPr>
        <w:t xml:space="preserve">This implies that remittances are not used wisely in the economy and instead of investing the acquired resource to increase economic activity; the remittances have made the economy dependent. </w:t>
      </w:r>
    </w:p>
    <w:p w:rsidR="00400869" w:rsidRDefault="00400869" w:rsidP="00400869">
      <w:pPr>
        <w:spacing w:after="0" w:line="480" w:lineRule="auto"/>
        <w:ind w:firstLine="720"/>
        <w:jc w:val="both"/>
        <w:rPr>
          <w:rFonts w:ascii="Times New Roman" w:hAnsi="Times New Roman" w:cs="Times New Roman"/>
          <w:sz w:val="24"/>
          <w:szCs w:val="24"/>
        </w:rPr>
      </w:pPr>
    </w:p>
    <w:tbl>
      <w:tblPr>
        <w:tblStyle w:val="MediumGrid2-Accent1"/>
        <w:tblW w:w="4880" w:type="dxa"/>
        <w:jc w:val="center"/>
        <w:tblLook w:val="04A0" w:firstRow="1" w:lastRow="0" w:firstColumn="1" w:lastColumn="0" w:noHBand="0" w:noVBand="1"/>
      </w:tblPr>
      <w:tblGrid>
        <w:gridCol w:w="2346"/>
        <w:gridCol w:w="1276"/>
        <w:gridCol w:w="1258"/>
      </w:tblGrid>
      <w:tr w:rsidR="009D23D6" w:rsidRPr="009D23D6" w:rsidTr="009D23D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p>
        </w:tc>
        <w:tc>
          <w:tcPr>
            <w:tcW w:w="1260" w:type="dxa"/>
            <w:vAlign w:val="center"/>
            <w:hideMark/>
          </w:tcPr>
          <w:p w:rsidR="009D23D6" w:rsidRPr="00291C10" w:rsidRDefault="009D23D6" w:rsidP="009D23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91C10">
              <w:rPr>
                <w:rFonts w:ascii="Times New Roman" w:eastAsia="Times New Roman" w:hAnsi="Times New Roman" w:cs="Times New Roman"/>
                <w:color w:val="000000"/>
                <w:sz w:val="24"/>
                <w:szCs w:val="24"/>
              </w:rPr>
              <w:t>Model 4</w:t>
            </w:r>
          </w:p>
        </w:tc>
        <w:tc>
          <w:tcPr>
            <w:tcW w:w="1260" w:type="dxa"/>
            <w:vAlign w:val="center"/>
            <w:hideMark/>
          </w:tcPr>
          <w:p w:rsidR="009D23D6" w:rsidRPr="00291C10" w:rsidRDefault="009D23D6" w:rsidP="009D23D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91C10">
              <w:rPr>
                <w:rFonts w:ascii="Times New Roman" w:eastAsia="Times New Roman" w:hAnsi="Times New Roman" w:cs="Times New Roman"/>
                <w:color w:val="000000"/>
                <w:sz w:val="24"/>
                <w:szCs w:val="24"/>
              </w:rPr>
              <w:t>Model 5</w:t>
            </w: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Observations</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53</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49</w:t>
            </w:r>
          </w:p>
        </w:tc>
      </w:tr>
      <w:tr w:rsidR="009D23D6" w:rsidRPr="009D23D6" w:rsidTr="009D23D6">
        <w:trPr>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AIC</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-6.472325</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-5.228409</w:t>
            </w: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HQIC</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-5.97197</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-4.715728</w:t>
            </w:r>
          </w:p>
        </w:tc>
      </w:tr>
      <w:tr w:rsidR="009D23D6" w:rsidRPr="009D23D6" w:rsidTr="009D23D6">
        <w:trPr>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SBIC</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-5.171188</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-3.877109</w:t>
            </w: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880" w:type="dxa"/>
            <w:gridSpan w:val="3"/>
            <w:vAlign w:val="center"/>
            <w:hideMark/>
          </w:tcPr>
          <w:p w:rsidR="009D23D6" w:rsidRPr="009D23D6" w:rsidRDefault="009D23D6" w:rsidP="009D23D6">
            <w:pPr>
              <w:spacing w:line="360" w:lineRule="auto"/>
              <w:ind w:firstLine="360"/>
              <w:jc w:val="center"/>
              <w:rPr>
                <w:rFonts w:ascii="Calibri" w:eastAsia="Times New Roman" w:hAnsi="Calibri" w:cs="Times New Roman"/>
                <w:b w:val="0"/>
                <w:color w:val="000000"/>
              </w:rPr>
            </w:pPr>
            <w:r w:rsidRPr="009D23D6">
              <w:rPr>
                <w:rFonts w:ascii="Times New Roman" w:eastAsia="Times New Roman" w:hAnsi="Times New Roman" w:cs="Times New Roman"/>
                <w:b w:val="0"/>
                <w:color w:val="000000"/>
                <w:sz w:val="24"/>
                <w:szCs w:val="24"/>
              </w:rPr>
              <w:t>Long Term Relationship</w:t>
            </w:r>
          </w:p>
        </w:tc>
      </w:tr>
      <w:tr w:rsidR="009D23D6" w:rsidRPr="009D23D6" w:rsidTr="009D23D6">
        <w:trPr>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Speed of Convergence</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0.176</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0.064</w:t>
            </w: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6A0C31" w:rsidP="009D23D6">
            <w:pPr>
              <w:spacing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Log </w:t>
            </w:r>
            <w:r w:rsidR="009D23D6" w:rsidRPr="009D23D6">
              <w:rPr>
                <w:rFonts w:ascii="Times New Roman" w:eastAsia="Times New Roman" w:hAnsi="Times New Roman" w:cs="Times New Roman"/>
                <w:b w:val="0"/>
                <w:color w:val="000000"/>
                <w:sz w:val="24"/>
                <w:szCs w:val="24"/>
              </w:rPr>
              <w:t>REER</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1</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1</w:t>
            </w:r>
          </w:p>
        </w:tc>
      </w:tr>
      <w:tr w:rsidR="009D23D6" w:rsidRPr="009D23D6" w:rsidTr="009D23D6">
        <w:trPr>
          <w:trHeight w:val="630"/>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6A0C31" w:rsidP="009D23D6">
            <w:pPr>
              <w:spacing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Log </w:t>
            </w:r>
            <w:r w:rsidR="009D23D6" w:rsidRPr="009D23D6">
              <w:rPr>
                <w:rFonts w:ascii="Times New Roman" w:eastAsia="Times New Roman" w:hAnsi="Times New Roman" w:cs="Times New Roman"/>
                <w:b w:val="0"/>
                <w:color w:val="000000"/>
                <w:sz w:val="24"/>
                <w:szCs w:val="24"/>
              </w:rPr>
              <w:t>Mining Production</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0.239***</w:t>
            </w:r>
            <w:r w:rsidR="006E46D4">
              <w:rPr>
                <w:rStyle w:val="FootnoteReference"/>
                <w:rFonts w:ascii="Times New Roman" w:eastAsia="Times New Roman" w:hAnsi="Times New Roman" w:cs="Times New Roman"/>
                <w:color w:val="000000"/>
                <w:sz w:val="24"/>
                <w:szCs w:val="24"/>
              </w:rPr>
              <w:footnoteReference w:id="10"/>
            </w:r>
            <w:r w:rsidRPr="009D23D6">
              <w:rPr>
                <w:rFonts w:ascii="Times New Roman" w:eastAsia="Times New Roman" w:hAnsi="Times New Roman" w:cs="Times New Roman"/>
                <w:color w:val="000000"/>
                <w:sz w:val="24"/>
                <w:szCs w:val="24"/>
              </w:rPr>
              <w:t xml:space="preserve"> (0.05)</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6A0C31" w:rsidP="009D23D6">
            <w:pPr>
              <w:spacing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Log </w:t>
            </w:r>
            <w:r w:rsidR="009D23D6" w:rsidRPr="009D23D6">
              <w:rPr>
                <w:rFonts w:ascii="Times New Roman" w:eastAsia="Times New Roman" w:hAnsi="Times New Roman" w:cs="Times New Roman"/>
                <w:b w:val="0"/>
                <w:color w:val="000000"/>
                <w:sz w:val="24"/>
                <w:szCs w:val="24"/>
              </w:rPr>
              <w:t>Remittances</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0.197*** (0.04)</w:t>
            </w:r>
          </w:p>
        </w:tc>
      </w:tr>
      <w:tr w:rsidR="009D23D6" w:rsidRPr="009D23D6" w:rsidTr="009D23D6">
        <w:trPr>
          <w:trHeight w:val="630"/>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6A0C31" w:rsidP="009D23D6">
            <w:pPr>
              <w:spacing w:line="360" w:lineRule="auto"/>
              <w:jc w:val="center"/>
              <w:rPr>
                <w:rFonts w:ascii="Times New Roman" w:eastAsia="Times New Roman" w:hAnsi="Times New Roman" w:cs="Times New Roman"/>
                <w:b w:val="0"/>
                <w:color w:val="000000"/>
                <w:sz w:val="24"/>
                <w:szCs w:val="24"/>
              </w:rPr>
            </w:pPr>
            <w:r>
              <w:rPr>
                <w:rFonts w:ascii="Times New Roman" w:eastAsia="Times New Roman" w:hAnsi="Times New Roman" w:cs="Times New Roman"/>
                <w:b w:val="0"/>
                <w:color w:val="000000"/>
                <w:sz w:val="24"/>
                <w:szCs w:val="24"/>
              </w:rPr>
              <w:t xml:space="preserve">Log </w:t>
            </w:r>
            <w:r w:rsidR="009D23D6" w:rsidRPr="009D23D6">
              <w:rPr>
                <w:rFonts w:ascii="Times New Roman" w:eastAsia="Times New Roman" w:hAnsi="Times New Roman" w:cs="Times New Roman"/>
                <w:b w:val="0"/>
                <w:color w:val="000000"/>
                <w:sz w:val="24"/>
                <w:szCs w:val="24"/>
              </w:rPr>
              <w:t>GIA</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-0.32*** (0.07)</w:t>
            </w:r>
          </w:p>
        </w:tc>
        <w:tc>
          <w:tcPr>
            <w:tcW w:w="1260" w:type="dxa"/>
            <w:vAlign w:val="center"/>
            <w:hideMark/>
          </w:tcPr>
          <w:p w:rsidR="009D23D6" w:rsidRPr="009D23D6" w:rsidRDefault="009D23D6" w:rsidP="009D23D6">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-0.402*** (0.07)</w:t>
            </w:r>
          </w:p>
        </w:tc>
      </w:tr>
      <w:tr w:rsidR="009D23D6" w:rsidRPr="009D23D6" w:rsidTr="009D23D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60" w:type="dxa"/>
            <w:vAlign w:val="center"/>
            <w:hideMark/>
          </w:tcPr>
          <w:p w:rsidR="009D23D6" w:rsidRPr="009D23D6" w:rsidRDefault="009D23D6" w:rsidP="009D23D6">
            <w:pPr>
              <w:spacing w:line="360" w:lineRule="auto"/>
              <w:jc w:val="center"/>
              <w:rPr>
                <w:rFonts w:ascii="Times New Roman" w:eastAsia="Times New Roman" w:hAnsi="Times New Roman" w:cs="Times New Roman"/>
                <w:b w:val="0"/>
                <w:color w:val="000000"/>
                <w:sz w:val="24"/>
                <w:szCs w:val="24"/>
              </w:rPr>
            </w:pPr>
            <w:r w:rsidRPr="009D23D6">
              <w:rPr>
                <w:rFonts w:ascii="Times New Roman" w:eastAsia="Times New Roman" w:hAnsi="Times New Roman" w:cs="Times New Roman"/>
                <w:b w:val="0"/>
                <w:color w:val="000000"/>
                <w:sz w:val="24"/>
                <w:szCs w:val="24"/>
              </w:rPr>
              <w:t>Constant</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-2.6</w:t>
            </w:r>
          </w:p>
        </w:tc>
        <w:tc>
          <w:tcPr>
            <w:tcW w:w="1260" w:type="dxa"/>
            <w:vAlign w:val="center"/>
            <w:hideMark/>
          </w:tcPr>
          <w:p w:rsidR="009D23D6" w:rsidRPr="009D23D6" w:rsidRDefault="009D23D6" w:rsidP="009D23D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9D23D6">
              <w:rPr>
                <w:rFonts w:ascii="Times New Roman" w:eastAsia="Times New Roman" w:hAnsi="Times New Roman" w:cs="Times New Roman"/>
                <w:color w:val="000000"/>
                <w:sz w:val="24"/>
                <w:szCs w:val="24"/>
              </w:rPr>
              <w:t>-0.16</w:t>
            </w:r>
          </w:p>
        </w:tc>
      </w:tr>
    </w:tbl>
    <w:p w:rsidR="008B33F8" w:rsidRPr="006E46D4" w:rsidRDefault="009D23D6" w:rsidP="006E46D4">
      <w:pPr>
        <w:spacing w:after="0" w:line="480" w:lineRule="auto"/>
        <w:ind w:firstLine="720"/>
        <w:jc w:val="right"/>
        <w:rPr>
          <w:rFonts w:ascii="Times New Roman" w:hAnsi="Times New Roman" w:cs="Times New Roman"/>
          <w:i/>
          <w:sz w:val="24"/>
          <w:szCs w:val="24"/>
        </w:rPr>
      </w:pPr>
      <w:r w:rsidRPr="009D23D6">
        <w:rPr>
          <w:rFonts w:ascii="Times New Roman" w:hAnsi="Times New Roman" w:cs="Times New Roman"/>
          <w:i/>
          <w:sz w:val="24"/>
          <w:szCs w:val="24"/>
        </w:rPr>
        <w:t>Table 5. Empirical Analysis, Models 4-5</w:t>
      </w:r>
    </w:p>
    <w:p w:rsidR="00CE7DB9" w:rsidRDefault="00CE7DB9" w:rsidP="002769D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0756C0">
        <w:rPr>
          <w:rFonts w:ascii="Times New Roman" w:hAnsi="Times New Roman" w:cs="Times New Roman"/>
          <w:sz w:val="24"/>
          <w:szCs w:val="24"/>
        </w:rPr>
        <w:t xml:space="preserve"> model</w:t>
      </w:r>
      <w:r w:rsidR="006A0C31">
        <w:rPr>
          <w:rFonts w:ascii="Times New Roman" w:hAnsi="Times New Roman" w:cs="Times New Roman"/>
          <w:sz w:val="24"/>
          <w:szCs w:val="24"/>
        </w:rPr>
        <w:t>s 4 and 5 show</w:t>
      </w:r>
      <w:r w:rsidR="000756C0">
        <w:rPr>
          <w:rFonts w:ascii="Times New Roman" w:hAnsi="Times New Roman" w:cs="Times New Roman"/>
          <w:sz w:val="24"/>
          <w:szCs w:val="24"/>
        </w:rPr>
        <w:t xml:space="preserve"> the relationship between REER,</w:t>
      </w:r>
      <w:r w:rsidR="006A0C31">
        <w:rPr>
          <w:rFonts w:ascii="Times New Roman" w:hAnsi="Times New Roman" w:cs="Times New Roman"/>
          <w:sz w:val="24"/>
          <w:szCs w:val="24"/>
        </w:rPr>
        <w:t xml:space="preserve"> governmental investment into assets,</w:t>
      </w:r>
      <w:r w:rsidR="000756C0">
        <w:rPr>
          <w:rFonts w:ascii="Times New Roman" w:hAnsi="Times New Roman" w:cs="Times New Roman"/>
          <w:sz w:val="24"/>
          <w:szCs w:val="24"/>
        </w:rPr>
        <w:t xml:space="preserve"> remittances and mining production</w:t>
      </w:r>
      <w:r w:rsidR="0078285F">
        <w:rPr>
          <w:rFonts w:ascii="Times New Roman" w:hAnsi="Times New Roman" w:cs="Times New Roman"/>
          <w:sz w:val="24"/>
          <w:szCs w:val="24"/>
        </w:rPr>
        <w:t xml:space="preserve"> in the long run</w:t>
      </w:r>
      <w:r w:rsidR="000756C0">
        <w:rPr>
          <w:rFonts w:ascii="Times New Roman" w:hAnsi="Times New Roman" w:cs="Times New Roman"/>
          <w:sz w:val="24"/>
          <w:szCs w:val="24"/>
        </w:rPr>
        <w:t xml:space="preserve">. The model illustrates that </w:t>
      </w:r>
      <w:r w:rsidR="008B33F8">
        <w:rPr>
          <w:rFonts w:ascii="Times New Roman" w:hAnsi="Times New Roman" w:cs="Times New Roman"/>
          <w:sz w:val="24"/>
          <w:szCs w:val="24"/>
        </w:rPr>
        <w:t>a percent increase in mining production and remittances inflow</w:t>
      </w:r>
      <w:r w:rsidR="000756C0">
        <w:rPr>
          <w:rFonts w:ascii="Times New Roman" w:hAnsi="Times New Roman" w:cs="Times New Roman"/>
          <w:sz w:val="24"/>
          <w:szCs w:val="24"/>
        </w:rPr>
        <w:t xml:space="preserve"> </w:t>
      </w:r>
      <w:r w:rsidR="008B33F8">
        <w:rPr>
          <w:rFonts w:ascii="Times New Roman" w:hAnsi="Times New Roman" w:cs="Times New Roman"/>
          <w:sz w:val="24"/>
          <w:szCs w:val="24"/>
        </w:rPr>
        <w:t xml:space="preserve">appreciate </w:t>
      </w:r>
      <w:r w:rsidR="00987E21">
        <w:rPr>
          <w:rFonts w:ascii="Times New Roman" w:hAnsi="Times New Roman" w:cs="Times New Roman"/>
          <w:sz w:val="24"/>
          <w:szCs w:val="24"/>
        </w:rPr>
        <w:t xml:space="preserve">REER </w:t>
      </w:r>
      <w:r w:rsidR="000756C0">
        <w:rPr>
          <w:rFonts w:ascii="Times New Roman" w:hAnsi="Times New Roman" w:cs="Times New Roman"/>
          <w:sz w:val="24"/>
          <w:szCs w:val="24"/>
        </w:rPr>
        <w:t>in Armenia</w:t>
      </w:r>
      <w:r w:rsidR="008B33F8">
        <w:rPr>
          <w:rFonts w:ascii="Times New Roman" w:hAnsi="Times New Roman" w:cs="Times New Roman"/>
          <w:sz w:val="24"/>
          <w:szCs w:val="24"/>
        </w:rPr>
        <w:t xml:space="preserve"> by 0.04</w:t>
      </w:r>
      <w:r w:rsidR="008B33F8" w:rsidRPr="008B33F8">
        <w:rPr>
          <w:rFonts w:ascii="Times New Roman" w:hAnsi="Times New Roman" w:cs="Times New Roman"/>
          <w:sz w:val="24"/>
          <w:szCs w:val="24"/>
        </w:rPr>
        <w:t>%</w:t>
      </w:r>
      <w:r w:rsidR="008B33F8">
        <w:rPr>
          <w:rFonts w:ascii="Times New Roman" w:hAnsi="Times New Roman" w:cs="Times New Roman"/>
          <w:sz w:val="24"/>
          <w:szCs w:val="24"/>
        </w:rPr>
        <w:t xml:space="preserve"> and </w:t>
      </w:r>
      <w:r w:rsidR="008B33F8" w:rsidRPr="008B33F8">
        <w:rPr>
          <w:rFonts w:ascii="Times New Roman" w:hAnsi="Times New Roman" w:cs="Times New Roman"/>
          <w:sz w:val="24"/>
          <w:szCs w:val="24"/>
        </w:rPr>
        <w:t>0.012%</w:t>
      </w:r>
      <w:r w:rsidR="008B33F8">
        <w:rPr>
          <w:rFonts w:ascii="Times New Roman" w:hAnsi="Times New Roman" w:cs="Times New Roman"/>
          <w:sz w:val="24"/>
          <w:szCs w:val="24"/>
        </w:rPr>
        <w:t xml:space="preserve"> respectively</w:t>
      </w:r>
      <w:r w:rsidR="00844707">
        <w:rPr>
          <w:rFonts w:ascii="Times New Roman" w:hAnsi="Times New Roman" w:cs="Times New Roman"/>
          <w:sz w:val="24"/>
          <w:szCs w:val="24"/>
        </w:rPr>
        <w:t xml:space="preserve">. </w:t>
      </w:r>
    </w:p>
    <w:p w:rsidR="00A27120" w:rsidRPr="00DF2A2B" w:rsidRDefault="006E640F" w:rsidP="008D60FB">
      <w:pPr>
        <w:spacing w:after="0" w:line="480" w:lineRule="auto"/>
        <w:ind w:firstLine="540"/>
        <w:jc w:val="both"/>
        <w:rPr>
          <w:rFonts w:ascii="Times New Roman" w:hAnsi="Times New Roman" w:cs="Times New Roman"/>
          <w:i/>
          <w:sz w:val="28"/>
          <w:szCs w:val="28"/>
          <w:u w:val="single"/>
        </w:rPr>
      </w:pPr>
      <w:r w:rsidRPr="00DF2A2B">
        <w:rPr>
          <w:rFonts w:ascii="Times New Roman" w:hAnsi="Times New Roman" w:cs="Times New Roman"/>
          <w:i/>
          <w:sz w:val="28"/>
          <w:szCs w:val="28"/>
          <w:u w:val="single"/>
        </w:rPr>
        <w:lastRenderedPageBreak/>
        <w:t>Discussions and Limitations</w:t>
      </w:r>
    </w:p>
    <w:p w:rsidR="00832FDA" w:rsidRDefault="005D3675" w:rsidP="003F17DB">
      <w:pPr>
        <w:spacing w:after="0" w:line="480" w:lineRule="auto"/>
        <w:ind w:firstLine="540"/>
        <w:jc w:val="both"/>
        <w:rPr>
          <w:rFonts w:ascii="Times New Roman" w:hAnsi="Times New Roman" w:cs="Times New Roman"/>
          <w:sz w:val="24"/>
          <w:szCs w:val="24"/>
        </w:rPr>
      </w:pPr>
      <w:r w:rsidRPr="005D3675">
        <w:rPr>
          <w:rFonts w:ascii="Times New Roman" w:hAnsi="Times New Roman" w:cs="Times New Roman"/>
          <w:b/>
          <w:sz w:val="24"/>
          <w:szCs w:val="24"/>
        </w:rPr>
        <w:t>Findings:</w:t>
      </w:r>
      <w:r w:rsidR="003F17DB">
        <w:rPr>
          <w:rFonts w:ascii="Times New Roman" w:hAnsi="Times New Roman" w:cs="Times New Roman"/>
          <w:b/>
          <w:sz w:val="24"/>
          <w:szCs w:val="24"/>
        </w:rPr>
        <w:t xml:space="preserve"> </w:t>
      </w:r>
      <w:r w:rsidR="003F17DB">
        <w:rPr>
          <w:rFonts w:ascii="Times New Roman" w:hAnsi="Times New Roman" w:cs="Times New Roman"/>
          <w:sz w:val="24"/>
          <w:szCs w:val="24"/>
        </w:rPr>
        <w:t>The economic state of the country shows signs of DD, but not the intensity of the condition. As revealed in the five step diagnosis the signs of DD are as follows: REER appreciates over time, with a close correlation to copper price trends; wage inequality causes labour shifts, since the mining sector is the primary job supplier for the provinces and the distribution for salaries is more favorable in this sector; manufacturing sector</w:t>
      </w:r>
      <w:r w:rsidR="003F17DB" w:rsidRPr="003F17DB">
        <w:rPr>
          <w:rFonts w:ascii="Times New Roman" w:hAnsi="Times New Roman" w:cs="Times New Roman"/>
          <w:sz w:val="24"/>
          <w:szCs w:val="24"/>
        </w:rPr>
        <w:t xml:space="preserve"> </w:t>
      </w:r>
      <w:r w:rsidR="003F17DB">
        <w:rPr>
          <w:rFonts w:ascii="Times New Roman" w:hAnsi="Times New Roman" w:cs="Times New Roman"/>
          <w:sz w:val="24"/>
          <w:szCs w:val="24"/>
        </w:rPr>
        <w:t xml:space="preserve">deteriorates, </w:t>
      </w:r>
      <w:r w:rsidR="00A27120">
        <w:rPr>
          <w:rFonts w:ascii="Times New Roman" w:hAnsi="Times New Roman" w:cs="Times New Roman"/>
          <w:sz w:val="24"/>
          <w:szCs w:val="24"/>
        </w:rPr>
        <w:t>with</w:t>
      </w:r>
      <w:r w:rsidR="003F17DB">
        <w:rPr>
          <w:rFonts w:ascii="Times New Roman" w:hAnsi="Times New Roman" w:cs="Times New Roman"/>
          <w:sz w:val="24"/>
          <w:szCs w:val="24"/>
        </w:rPr>
        <w:t xml:space="preserve"> lack of investment</w:t>
      </w:r>
      <w:r w:rsidR="00A27120">
        <w:rPr>
          <w:rFonts w:ascii="Times New Roman" w:hAnsi="Times New Roman" w:cs="Times New Roman"/>
          <w:sz w:val="24"/>
          <w:szCs w:val="24"/>
        </w:rPr>
        <w:t>, technological advancement</w:t>
      </w:r>
      <w:r w:rsidR="003F17DB">
        <w:rPr>
          <w:rFonts w:ascii="Times New Roman" w:hAnsi="Times New Roman" w:cs="Times New Roman"/>
          <w:sz w:val="24"/>
          <w:szCs w:val="24"/>
        </w:rPr>
        <w:t xml:space="preserve"> and skilled labour</w:t>
      </w:r>
      <w:r w:rsidR="00A27120">
        <w:rPr>
          <w:rFonts w:ascii="Times New Roman" w:hAnsi="Times New Roman" w:cs="Times New Roman"/>
          <w:sz w:val="24"/>
          <w:szCs w:val="24"/>
        </w:rPr>
        <w:t xml:space="preserve"> as only a part of the issue</w:t>
      </w:r>
      <w:r w:rsidR="003F17DB">
        <w:rPr>
          <w:rFonts w:ascii="Times New Roman" w:hAnsi="Times New Roman" w:cs="Times New Roman"/>
          <w:sz w:val="24"/>
          <w:szCs w:val="24"/>
        </w:rPr>
        <w:t xml:space="preserve">; and loss of competitiveness in the world market, shown in the poor export sophistication. </w:t>
      </w:r>
    </w:p>
    <w:p w:rsidR="003F17DB" w:rsidRDefault="003F17DB" w:rsidP="00832FDA">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The empirical analysis confirms that REER is appreciated by mining production and remittances increase, depreciated with money supply and governmental investment into assets</w:t>
      </w:r>
      <w:r w:rsidR="00A27120">
        <w:rPr>
          <w:rFonts w:ascii="Times New Roman" w:hAnsi="Times New Roman" w:cs="Times New Roman"/>
          <w:sz w:val="24"/>
          <w:szCs w:val="24"/>
        </w:rPr>
        <w:t xml:space="preserve">. </w:t>
      </w:r>
      <w:r w:rsidR="00DF5EDB">
        <w:rPr>
          <w:rFonts w:ascii="Times New Roman" w:hAnsi="Times New Roman" w:cs="Times New Roman"/>
          <w:sz w:val="24"/>
          <w:szCs w:val="24"/>
        </w:rPr>
        <w:t>M</w:t>
      </w:r>
      <w:r w:rsidR="00A27120">
        <w:rPr>
          <w:rFonts w:ascii="Times New Roman" w:hAnsi="Times New Roman" w:cs="Times New Roman"/>
          <w:sz w:val="24"/>
          <w:szCs w:val="24"/>
        </w:rPr>
        <w:t xml:space="preserve">ining production appreciates REER both in short and long terms, yet the increase </w:t>
      </w:r>
      <w:r w:rsidR="006E46D4">
        <w:rPr>
          <w:rFonts w:ascii="Times New Roman" w:hAnsi="Times New Roman" w:cs="Times New Roman"/>
          <w:sz w:val="24"/>
          <w:szCs w:val="24"/>
        </w:rPr>
        <w:t>seem</w:t>
      </w:r>
      <w:r w:rsidR="00A27120">
        <w:rPr>
          <w:rFonts w:ascii="Times New Roman" w:hAnsi="Times New Roman" w:cs="Times New Roman"/>
          <w:sz w:val="24"/>
          <w:szCs w:val="24"/>
        </w:rPr>
        <w:t xml:space="preserve"> slight. </w:t>
      </w:r>
      <w:r w:rsidR="005774EC">
        <w:rPr>
          <w:rFonts w:ascii="Times New Roman" w:hAnsi="Times New Roman" w:cs="Times New Roman"/>
          <w:sz w:val="24"/>
          <w:szCs w:val="24"/>
        </w:rPr>
        <w:t xml:space="preserve">Partly due to </w:t>
      </w:r>
      <w:r w:rsidR="00A27120">
        <w:rPr>
          <w:rFonts w:ascii="Times New Roman" w:hAnsi="Times New Roman" w:cs="Times New Roman"/>
          <w:sz w:val="24"/>
          <w:szCs w:val="24"/>
        </w:rPr>
        <w:t>a small database limitation, the intensity of the appreciation is expected to be bigger in a country with DD.</w:t>
      </w:r>
      <w:r w:rsidR="00A27120" w:rsidRPr="00A27120">
        <w:rPr>
          <w:rFonts w:ascii="Times New Roman" w:hAnsi="Times New Roman" w:cs="Times New Roman"/>
          <w:sz w:val="24"/>
          <w:szCs w:val="24"/>
        </w:rPr>
        <w:t xml:space="preserve"> </w:t>
      </w:r>
      <w:r w:rsidR="00A27120">
        <w:rPr>
          <w:rFonts w:ascii="Times New Roman" w:hAnsi="Times New Roman" w:cs="Times New Roman"/>
          <w:sz w:val="24"/>
          <w:szCs w:val="24"/>
        </w:rPr>
        <w:t>Financial aid and remittance inflow also contributes to developing of DD, yet once again not with the intensity expected</w:t>
      </w:r>
      <w:r>
        <w:rPr>
          <w:rFonts w:ascii="Times New Roman" w:hAnsi="Times New Roman" w:cs="Times New Roman"/>
          <w:sz w:val="24"/>
          <w:szCs w:val="24"/>
        </w:rPr>
        <w:t xml:space="preserve">. </w:t>
      </w:r>
      <w:r w:rsidR="00A27120">
        <w:rPr>
          <w:rFonts w:ascii="Times New Roman" w:hAnsi="Times New Roman" w:cs="Times New Roman"/>
          <w:sz w:val="24"/>
          <w:szCs w:val="24"/>
        </w:rPr>
        <w:t>Dutch Disease is a threat in Armenia, yet the country isn’t so far along that path to formally establish the country suffers from DD.  Furthermore, i</w:t>
      </w:r>
      <w:r w:rsidR="00DF0ED1">
        <w:rPr>
          <w:rFonts w:ascii="Times New Roman" w:hAnsi="Times New Roman" w:cs="Times New Roman"/>
          <w:sz w:val="24"/>
          <w:szCs w:val="24"/>
        </w:rPr>
        <w:t>nstitutions have no clear policies and don’t aid against DD</w:t>
      </w:r>
      <w:r w:rsidR="00832FDA">
        <w:rPr>
          <w:rFonts w:ascii="Times New Roman" w:hAnsi="Times New Roman" w:cs="Times New Roman"/>
          <w:sz w:val="24"/>
          <w:szCs w:val="24"/>
        </w:rPr>
        <w:t>.</w:t>
      </w:r>
      <w:r w:rsidR="00013227">
        <w:rPr>
          <w:rFonts w:ascii="Times New Roman" w:hAnsi="Times New Roman" w:cs="Times New Roman"/>
          <w:sz w:val="24"/>
          <w:szCs w:val="24"/>
        </w:rPr>
        <w:t xml:space="preserve"> </w:t>
      </w:r>
      <w:r w:rsidR="005F36F0" w:rsidRPr="005774EC">
        <w:rPr>
          <w:rFonts w:ascii="Times New Roman" w:hAnsi="Times New Roman" w:cs="Times New Roman"/>
          <w:sz w:val="24"/>
          <w:szCs w:val="24"/>
        </w:rPr>
        <w:t>A</w:t>
      </w:r>
      <w:r w:rsidR="00BB0B4A" w:rsidRPr="005774EC">
        <w:rPr>
          <w:rFonts w:ascii="Times New Roman" w:hAnsi="Times New Roman" w:cs="Times New Roman"/>
          <w:sz w:val="24"/>
          <w:szCs w:val="24"/>
        </w:rPr>
        <w:t xml:space="preserve"> unit increase in the share of governmental investment into assets in the GDP decreases the REER</w:t>
      </w:r>
      <w:r w:rsidR="005F36F0" w:rsidRPr="005774EC">
        <w:rPr>
          <w:rFonts w:ascii="Times New Roman" w:hAnsi="Times New Roman" w:cs="Times New Roman"/>
          <w:sz w:val="24"/>
          <w:szCs w:val="24"/>
        </w:rPr>
        <w:t>. It is an indicator of positive governmental</w:t>
      </w:r>
      <w:r w:rsidR="00BB0B4A" w:rsidRPr="005774EC">
        <w:rPr>
          <w:rFonts w:ascii="Times New Roman" w:hAnsi="Times New Roman" w:cs="Times New Roman"/>
          <w:sz w:val="24"/>
          <w:szCs w:val="24"/>
        </w:rPr>
        <w:t xml:space="preserve"> policy to avoid spending effects</w:t>
      </w:r>
      <w:r w:rsidR="005F36F0" w:rsidRPr="005774EC">
        <w:rPr>
          <w:rFonts w:ascii="Times New Roman" w:hAnsi="Times New Roman" w:cs="Times New Roman"/>
          <w:sz w:val="24"/>
          <w:szCs w:val="24"/>
        </w:rPr>
        <w:t xml:space="preserve">. </w:t>
      </w:r>
      <w:r w:rsidR="00BB0B4A" w:rsidRPr="005774EC">
        <w:rPr>
          <w:rFonts w:ascii="Times New Roman" w:hAnsi="Times New Roman" w:cs="Times New Roman"/>
          <w:sz w:val="24"/>
          <w:szCs w:val="24"/>
        </w:rPr>
        <w:t>The negative sign of the relationship speaks of investment with high import contents, which have a negative effect on the trade of balance</w:t>
      </w:r>
      <w:r w:rsidR="005774EC">
        <w:rPr>
          <w:rFonts w:ascii="Times New Roman" w:hAnsi="Times New Roman" w:cs="Times New Roman"/>
          <w:sz w:val="24"/>
          <w:szCs w:val="24"/>
        </w:rPr>
        <w:t>, meaning that a policy to avoid spending effects hasn’t been established</w:t>
      </w:r>
      <w:r w:rsidR="00BB0B4A" w:rsidRPr="005774EC">
        <w:rPr>
          <w:rFonts w:ascii="Times New Roman" w:hAnsi="Times New Roman" w:cs="Times New Roman"/>
          <w:sz w:val="24"/>
          <w:szCs w:val="24"/>
        </w:rPr>
        <w:t>. M2, on the other hand, is an indicator of negative governmental policy, since increasing cash flow into the market is a method of manipulating the REER the decrease.  The</w:t>
      </w:r>
      <w:r w:rsidR="005F36F0" w:rsidRPr="005774EC">
        <w:rPr>
          <w:rFonts w:ascii="Times New Roman" w:hAnsi="Times New Roman" w:cs="Times New Roman"/>
          <w:sz w:val="24"/>
          <w:szCs w:val="24"/>
        </w:rPr>
        <w:t xml:space="preserve"> empirical model found</w:t>
      </w:r>
      <w:r w:rsidR="00BB0B4A" w:rsidRPr="005774EC">
        <w:rPr>
          <w:rFonts w:ascii="Times New Roman" w:hAnsi="Times New Roman" w:cs="Times New Roman"/>
          <w:sz w:val="24"/>
          <w:szCs w:val="24"/>
        </w:rPr>
        <w:t xml:space="preserve"> two co-integrated relations, since there is causality between REER and NFA variables. The causality lies in the foreign investments: a </w:t>
      </w:r>
      <w:r w:rsidR="00BB0B4A" w:rsidRPr="005774EC">
        <w:rPr>
          <w:rFonts w:ascii="Times New Roman" w:hAnsi="Times New Roman" w:cs="Times New Roman"/>
          <w:sz w:val="24"/>
          <w:szCs w:val="24"/>
        </w:rPr>
        <w:lastRenderedPageBreak/>
        <w:t>low RER makes domestic assets less attractive for both domestic and foreign investment, because the assets offer lower real rates of return. On the other hand, a reduction in foreign investment into assets decreases the demand for the domestic currency, thus increasing REER.</w:t>
      </w:r>
    </w:p>
    <w:p w:rsidR="005E40FB" w:rsidRDefault="005F5F84" w:rsidP="00DE7930">
      <w:pPr>
        <w:spacing w:after="0" w:line="480" w:lineRule="auto"/>
        <w:ind w:firstLine="540"/>
        <w:jc w:val="both"/>
        <w:rPr>
          <w:rFonts w:ascii="Times New Roman" w:hAnsi="Times New Roman" w:cs="Times New Roman"/>
          <w:sz w:val="24"/>
          <w:szCs w:val="24"/>
        </w:rPr>
      </w:pPr>
      <w:r w:rsidRPr="005D3675">
        <w:rPr>
          <w:rFonts w:ascii="Times New Roman" w:hAnsi="Times New Roman" w:cs="Times New Roman"/>
          <w:b/>
          <w:sz w:val="24"/>
          <w:szCs w:val="24"/>
        </w:rPr>
        <w:t>Policies:</w:t>
      </w:r>
      <w:r w:rsidR="005D3675">
        <w:rPr>
          <w:rFonts w:ascii="Times New Roman" w:hAnsi="Times New Roman" w:cs="Times New Roman"/>
          <w:sz w:val="24"/>
          <w:szCs w:val="24"/>
        </w:rPr>
        <w:t xml:space="preserve"> A</w:t>
      </w:r>
      <w:r>
        <w:rPr>
          <w:rFonts w:ascii="Times New Roman" w:hAnsi="Times New Roman" w:cs="Times New Roman"/>
          <w:sz w:val="24"/>
          <w:szCs w:val="24"/>
        </w:rPr>
        <w:t xml:space="preserve">chieving a mere decline in REER are not sufficient measures to eliminate DD. DD lies in the manufacturing sector decline. The investment into developing this sector is the structural change needed to achieve a more stable economy. Countries with DD have had different approaches in fighting DD. Netherlands, alongside with investment into manufacturing sector, made investments in international assets, thus diversifying </w:t>
      </w:r>
      <w:r w:rsidR="000C1C1B">
        <w:rPr>
          <w:rFonts w:ascii="Times New Roman" w:hAnsi="Times New Roman" w:cs="Times New Roman"/>
          <w:sz w:val="24"/>
          <w:szCs w:val="24"/>
        </w:rPr>
        <w:t>the economy. Australia</w:t>
      </w:r>
      <w:r>
        <w:rPr>
          <w:rFonts w:ascii="Times New Roman" w:hAnsi="Times New Roman" w:cs="Times New Roman"/>
          <w:sz w:val="24"/>
          <w:szCs w:val="24"/>
        </w:rPr>
        <w:t xml:space="preserve"> dealt with the</w:t>
      </w:r>
      <w:r w:rsidR="000C1C1B">
        <w:rPr>
          <w:rFonts w:ascii="Times New Roman" w:hAnsi="Times New Roman" w:cs="Times New Roman"/>
          <w:sz w:val="24"/>
          <w:szCs w:val="24"/>
        </w:rPr>
        <w:t xml:space="preserve"> condition by eliminating tariffs and subsidizing a certain sectors of the manufacturing industry.</w:t>
      </w:r>
      <w:r w:rsidR="005D3675">
        <w:rPr>
          <w:rFonts w:ascii="Times New Roman" w:hAnsi="Times New Roman" w:cs="Times New Roman"/>
          <w:sz w:val="24"/>
          <w:szCs w:val="24"/>
        </w:rPr>
        <w:t xml:space="preserve"> The government of Norway developed several policies to avoid DD, including funding of the manufacturing sector to sustain it, creating of the Government Pension Fund designed to hedge against petroleum revenue and investment in technological advancement and research.</w:t>
      </w:r>
    </w:p>
    <w:p w:rsidR="005F5F84" w:rsidRDefault="000C1C1B"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For Armenia’s case several steps are ne</w:t>
      </w:r>
      <w:r w:rsidR="00B6680E">
        <w:rPr>
          <w:rFonts w:ascii="Times New Roman" w:hAnsi="Times New Roman" w:cs="Times New Roman"/>
          <w:sz w:val="24"/>
          <w:szCs w:val="24"/>
        </w:rPr>
        <w:t>cessary. Governmental spending a</w:t>
      </w:r>
      <w:r>
        <w:rPr>
          <w:rFonts w:ascii="Times New Roman" w:hAnsi="Times New Roman" w:cs="Times New Roman"/>
          <w:sz w:val="24"/>
          <w:szCs w:val="24"/>
        </w:rPr>
        <w:t>ffect</w:t>
      </w:r>
      <w:r w:rsidR="00B6680E">
        <w:rPr>
          <w:rFonts w:ascii="Times New Roman" w:hAnsi="Times New Roman" w:cs="Times New Roman"/>
          <w:sz w:val="24"/>
          <w:szCs w:val="24"/>
        </w:rPr>
        <w:t>s</w:t>
      </w:r>
      <w:r>
        <w:rPr>
          <w:rFonts w:ascii="Times New Roman" w:hAnsi="Times New Roman" w:cs="Times New Roman"/>
          <w:sz w:val="24"/>
          <w:szCs w:val="24"/>
        </w:rPr>
        <w:t xml:space="preserve"> the resource revenue greatly (Katz et al, 2004), thus a fiscal policy must</w:t>
      </w:r>
      <w:r w:rsidR="00B6680E">
        <w:rPr>
          <w:rFonts w:ascii="Times New Roman" w:hAnsi="Times New Roman" w:cs="Times New Roman"/>
          <w:sz w:val="24"/>
          <w:szCs w:val="24"/>
        </w:rPr>
        <w:t xml:space="preserve"> be</w:t>
      </w:r>
      <w:r>
        <w:rPr>
          <w:rFonts w:ascii="Times New Roman" w:hAnsi="Times New Roman" w:cs="Times New Roman"/>
          <w:sz w:val="24"/>
          <w:szCs w:val="24"/>
        </w:rPr>
        <w:t xml:space="preserve"> established to control the spending effect of D</w:t>
      </w:r>
      <w:r w:rsidR="00B6680E">
        <w:rPr>
          <w:rFonts w:ascii="Times New Roman" w:hAnsi="Times New Roman" w:cs="Times New Roman"/>
          <w:sz w:val="24"/>
          <w:szCs w:val="24"/>
        </w:rPr>
        <w:t>D. An example is</w:t>
      </w:r>
      <w:r>
        <w:rPr>
          <w:rFonts w:ascii="Times New Roman" w:hAnsi="Times New Roman" w:cs="Times New Roman"/>
          <w:sz w:val="24"/>
          <w:szCs w:val="24"/>
        </w:rPr>
        <w:t xml:space="preserve"> controlling the amount of resource revenue spend and the amount saved in a stabilization and/or investment funds. </w:t>
      </w:r>
      <w:r w:rsidR="00C250B5">
        <w:rPr>
          <w:rFonts w:ascii="Times New Roman" w:hAnsi="Times New Roman" w:cs="Times New Roman"/>
          <w:sz w:val="24"/>
          <w:szCs w:val="24"/>
        </w:rPr>
        <w:t>Further steps to diversify the economy must be implemented, such as investment into research</w:t>
      </w:r>
      <w:r w:rsidR="00974E10">
        <w:rPr>
          <w:rFonts w:ascii="Times New Roman" w:hAnsi="Times New Roman" w:cs="Times New Roman"/>
          <w:sz w:val="24"/>
          <w:szCs w:val="24"/>
        </w:rPr>
        <w:t xml:space="preserve">, which has been reported as lacking in nearly all sectors of the economy. </w:t>
      </w:r>
      <w:r w:rsidR="00C250B5">
        <w:rPr>
          <w:rFonts w:ascii="Times New Roman" w:hAnsi="Times New Roman" w:cs="Times New Roman"/>
          <w:sz w:val="24"/>
          <w:szCs w:val="24"/>
        </w:rPr>
        <w:t xml:space="preserve"> </w:t>
      </w:r>
      <w:r w:rsidR="00974E10">
        <w:rPr>
          <w:rFonts w:ascii="Times New Roman" w:hAnsi="Times New Roman" w:cs="Times New Roman"/>
          <w:sz w:val="24"/>
          <w:szCs w:val="24"/>
        </w:rPr>
        <w:t>R</w:t>
      </w:r>
      <w:r w:rsidR="00C250B5">
        <w:rPr>
          <w:rFonts w:ascii="Times New Roman" w:hAnsi="Times New Roman" w:cs="Times New Roman"/>
          <w:sz w:val="24"/>
          <w:szCs w:val="24"/>
        </w:rPr>
        <w:t xml:space="preserve">educing import barriers </w:t>
      </w:r>
      <w:r w:rsidR="00974E10">
        <w:rPr>
          <w:rFonts w:ascii="Times New Roman" w:hAnsi="Times New Roman" w:cs="Times New Roman"/>
          <w:sz w:val="24"/>
          <w:szCs w:val="24"/>
        </w:rPr>
        <w:t>can</w:t>
      </w:r>
      <w:r w:rsidR="00C250B5">
        <w:rPr>
          <w:rFonts w:ascii="Times New Roman" w:hAnsi="Times New Roman" w:cs="Times New Roman"/>
          <w:sz w:val="24"/>
          <w:szCs w:val="24"/>
        </w:rPr>
        <w:t xml:space="preserve"> make advanced technology and other materials needed in the manufacturing sector more available</w:t>
      </w:r>
      <w:r w:rsidR="00974E10">
        <w:rPr>
          <w:rFonts w:ascii="Times New Roman" w:hAnsi="Times New Roman" w:cs="Times New Roman"/>
          <w:sz w:val="24"/>
          <w:szCs w:val="24"/>
        </w:rPr>
        <w:t>, thus increase the competitiveness of the country’s products in the international market.</w:t>
      </w:r>
      <w:r w:rsidR="00C250B5">
        <w:rPr>
          <w:rFonts w:ascii="Times New Roman" w:hAnsi="Times New Roman" w:cs="Times New Roman"/>
          <w:sz w:val="24"/>
          <w:szCs w:val="24"/>
        </w:rPr>
        <w:t xml:space="preserve"> Special attention is needed for the rural parts of Armenia. Basic investments, such as infrastructure development and educational advancement, can potentially be a major transformation for the economic activity in the provinces. </w:t>
      </w:r>
    </w:p>
    <w:p w:rsidR="007F4D16" w:rsidRDefault="005D3675" w:rsidP="00DE7930">
      <w:pPr>
        <w:spacing w:after="0" w:line="480" w:lineRule="auto"/>
        <w:ind w:firstLine="540"/>
        <w:jc w:val="both"/>
        <w:rPr>
          <w:rFonts w:ascii="Times New Roman" w:hAnsi="Times New Roman" w:cs="Times New Roman"/>
          <w:sz w:val="24"/>
          <w:szCs w:val="24"/>
        </w:rPr>
      </w:pPr>
      <w:r w:rsidRPr="005D3675">
        <w:rPr>
          <w:rFonts w:ascii="Times New Roman" w:hAnsi="Times New Roman" w:cs="Times New Roman"/>
          <w:b/>
          <w:sz w:val="24"/>
          <w:szCs w:val="24"/>
        </w:rPr>
        <w:lastRenderedPageBreak/>
        <w:t>Limitatio</w:t>
      </w:r>
      <w:r>
        <w:rPr>
          <w:rFonts w:ascii="Times New Roman" w:hAnsi="Times New Roman" w:cs="Times New Roman"/>
          <w:b/>
          <w:sz w:val="24"/>
          <w:szCs w:val="24"/>
        </w:rPr>
        <w:t>ns:</w:t>
      </w:r>
      <w:r>
        <w:rPr>
          <w:rFonts w:ascii="Times New Roman" w:hAnsi="Times New Roman" w:cs="Times New Roman"/>
          <w:sz w:val="24"/>
          <w:szCs w:val="24"/>
        </w:rPr>
        <w:t xml:space="preserve"> </w:t>
      </w:r>
      <w:r w:rsidR="003719C2" w:rsidRPr="00DE7930">
        <w:rPr>
          <w:rFonts w:ascii="Times New Roman" w:hAnsi="Times New Roman" w:cs="Times New Roman"/>
          <w:sz w:val="24"/>
          <w:szCs w:val="24"/>
        </w:rPr>
        <w:t>The paper has limitations in data availability and microeconomic foundation</w:t>
      </w:r>
      <w:r w:rsidR="009D6D77" w:rsidRPr="00DE7930">
        <w:rPr>
          <w:rFonts w:ascii="Times New Roman" w:hAnsi="Times New Roman" w:cs="Times New Roman"/>
          <w:sz w:val="24"/>
          <w:szCs w:val="24"/>
        </w:rPr>
        <w:t xml:space="preserve">. </w:t>
      </w:r>
      <w:r w:rsidR="00956238" w:rsidRPr="00DE7930">
        <w:rPr>
          <w:rFonts w:ascii="Times New Roman" w:hAnsi="Times New Roman" w:cs="Times New Roman"/>
          <w:sz w:val="24"/>
          <w:szCs w:val="24"/>
        </w:rPr>
        <w:t>VEC</w:t>
      </w:r>
      <w:r w:rsidR="003719C2" w:rsidRPr="00DE7930">
        <w:rPr>
          <w:rFonts w:ascii="Times New Roman" w:hAnsi="Times New Roman" w:cs="Times New Roman"/>
          <w:sz w:val="24"/>
          <w:szCs w:val="24"/>
        </w:rPr>
        <w:t xml:space="preserve"> analysis requires a large number of observations, yet collecting time series data on Armenia is a challenge. </w:t>
      </w:r>
      <w:r w:rsidR="00BA5687">
        <w:rPr>
          <w:rFonts w:ascii="Times New Roman" w:hAnsi="Times New Roman" w:cs="Times New Roman"/>
          <w:sz w:val="24"/>
          <w:szCs w:val="24"/>
        </w:rPr>
        <w:t>The VEC models on REER didn’t include data on institutional policy stability, since such data cannot be vary quarterly, yet the paper included substituting variables for governmental policy in the models.</w:t>
      </w:r>
    </w:p>
    <w:p w:rsidR="0098131B" w:rsidRDefault="00BA5687"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Data on FDI into mining, technological advancement of the mining sites would have benefited the model, yet were unavailable</w:t>
      </w:r>
      <w:r w:rsidR="00B6680E">
        <w:rPr>
          <w:rFonts w:ascii="Times New Roman" w:hAnsi="Times New Roman" w:cs="Times New Roman"/>
          <w:sz w:val="24"/>
          <w:szCs w:val="24"/>
        </w:rPr>
        <w:t xml:space="preserve"> in a quarterly interval</w:t>
      </w:r>
      <w:r>
        <w:rPr>
          <w:rFonts w:ascii="Times New Roman" w:hAnsi="Times New Roman" w:cs="Times New Roman"/>
          <w:sz w:val="24"/>
          <w:szCs w:val="24"/>
        </w:rPr>
        <w:t>.</w:t>
      </w:r>
      <w:r w:rsidR="0098131B">
        <w:rPr>
          <w:rFonts w:ascii="Times New Roman" w:hAnsi="Times New Roman" w:cs="Times New Roman"/>
          <w:sz w:val="24"/>
          <w:szCs w:val="24"/>
        </w:rPr>
        <w:t xml:space="preserve"> More robust models with a larger number of independent variable weren’t designed for the REER analysis, due to instability caused by small number of observations available. Instead several models were run with various combinations of explanatory variables, in order to find the relationship in the analysis.</w:t>
      </w:r>
      <w:r>
        <w:rPr>
          <w:rFonts w:ascii="Times New Roman" w:hAnsi="Times New Roman" w:cs="Times New Roman"/>
          <w:sz w:val="24"/>
          <w:szCs w:val="24"/>
        </w:rPr>
        <w:t xml:space="preserve"> The OLS model lacked data on labour costs, technological advancement and research for</w:t>
      </w:r>
      <w:r w:rsidR="0098131B">
        <w:rPr>
          <w:rFonts w:ascii="Times New Roman" w:hAnsi="Times New Roman" w:cs="Times New Roman"/>
          <w:sz w:val="24"/>
          <w:szCs w:val="24"/>
        </w:rPr>
        <w:t xml:space="preserve"> the</w:t>
      </w:r>
      <w:r>
        <w:rPr>
          <w:rFonts w:ascii="Times New Roman" w:hAnsi="Times New Roman" w:cs="Times New Roman"/>
          <w:sz w:val="24"/>
          <w:szCs w:val="24"/>
        </w:rPr>
        <w:t xml:space="preserve"> manufacturing sector</w:t>
      </w:r>
      <w:r w:rsidR="0098131B">
        <w:rPr>
          <w:rFonts w:ascii="Times New Roman" w:hAnsi="Times New Roman" w:cs="Times New Roman"/>
          <w:sz w:val="24"/>
          <w:szCs w:val="24"/>
        </w:rPr>
        <w:t>.</w:t>
      </w:r>
    </w:p>
    <w:p w:rsidR="00F870CF" w:rsidRDefault="00BA5687" w:rsidP="00AE570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7F4D16">
        <w:rPr>
          <w:rFonts w:ascii="Times New Roman" w:hAnsi="Times New Roman" w:cs="Times New Roman"/>
          <w:sz w:val="24"/>
          <w:szCs w:val="24"/>
        </w:rPr>
        <w:t>Further research can be conducted to find the intensity of Dutch Disease in Armenia. For this research the variables mentioned above are crucial. The paper discussed the finding that REER appreciation was due to nominal exchange rate appreciation rather than inflation.</w:t>
      </w:r>
      <w:r w:rsidR="00633364" w:rsidRPr="00633364">
        <w:rPr>
          <w:rFonts w:ascii="Times New Roman" w:hAnsi="Times New Roman" w:cs="Times New Roman"/>
          <w:sz w:val="24"/>
          <w:szCs w:val="24"/>
        </w:rPr>
        <w:t xml:space="preserve"> </w:t>
      </w:r>
      <w:r w:rsidR="00633364">
        <w:rPr>
          <w:rFonts w:ascii="Times New Roman" w:hAnsi="Times New Roman" w:cs="Times New Roman"/>
          <w:sz w:val="24"/>
          <w:szCs w:val="24"/>
        </w:rPr>
        <w:t>Starting 2005 the value of the US dollar has been declining, which would appreciate the REER.</w:t>
      </w:r>
      <w:r w:rsidR="007F4D16">
        <w:rPr>
          <w:rFonts w:ascii="Times New Roman" w:hAnsi="Times New Roman" w:cs="Times New Roman"/>
          <w:sz w:val="24"/>
          <w:szCs w:val="24"/>
        </w:rPr>
        <w:t xml:space="preserve"> In order to find the intensity of DD, the impact of USD exchange rate volatility on REER must be separated from </w:t>
      </w:r>
      <w:r w:rsidR="00633364">
        <w:rPr>
          <w:rFonts w:ascii="Times New Roman" w:hAnsi="Times New Roman" w:cs="Times New Roman"/>
          <w:sz w:val="24"/>
          <w:szCs w:val="24"/>
        </w:rPr>
        <w:t xml:space="preserve">the impact of natural resources production and export. </w:t>
      </w:r>
    </w:p>
    <w:p w:rsidR="00B04E40" w:rsidRDefault="00B04E40" w:rsidP="00201F0B">
      <w:pPr>
        <w:spacing w:after="0" w:line="480" w:lineRule="auto"/>
        <w:ind w:firstLine="540"/>
        <w:jc w:val="both"/>
        <w:rPr>
          <w:rFonts w:ascii="Times New Roman" w:hAnsi="Times New Roman" w:cs="Times New Roman"/>
          <w:i/>
          <w:sz w:val="28"/>
          <w:szCs w:val="28"/>
          <w:u w:val="single"/>
        </w:rPr>
      </w:pPr>
    </w:p>
    <w:p w:rsidR="00B04E40" w:rsidRDefault="00B04E40" w:rsidP="00201F0B">
      <w:pPr>
        <w:spacing w:after="0" w:line="480" w:lineRule="auto"/>
        <w:ind w:firstLine="540"/>
        <w:jc w:val="both"/>
        <w:rPr>
          <w:rFonts w:ascii="Times New Roman" w:hAnsi="Times New Roman" w:cs="Times New Roman"/>
          <w:i/>
          <w:sz w:val="28"/>
          <w:szCs w:val="28"/>
          <w:u w:val="single"/>
        </w:rPr>
      </w:pPr>
    </w:p>
    <w:p w:rsidR="00B04E40" w:rsidRDefault="00B04E40" w:rsidP="00201F0B">
      <w:pPr>
        <w:spacing w:after="0" w:line="480" w:lineRule="auto"/>
        <w:ind w:firstLine="540"/>
        <w:jc w:val="both"/>
        <w:rPr>
          <w:rFonts w:ascii="Times New Roman" w:hAnsi="Times New Roman" w:cs="Times New Roman"/>
          <w:i/>
          <w:sz w:val="28"/>
          <w:szCs w:val="28"/>
          <w:u w:val="single"/>
        </w:rPr>
      </w:pPr>
    </w:p>
    <w:p w:rsidR="00B04E40" w:rsidRDefault="00B04E40" w:rsidP="00201F0B">
      <w:pPr>
        <w:spacing w:after="0" w:line="480" w:lineRule="auto"/>
        <w:ind w:firstLine="540"/>
        <w:jc w:val="both"/>
        <w:rPr>
          <w:rFonts w:ascii="Times New Roman" w:hAnsi="Times New Roman" w:cs="Times New Roman"/>
          <w:i/>
          <w:sz w:val="28"/>
          <w:szCs w:val="28"/>
          <w:u w:val="single"/>
        </w:rPr>
      </w:pPr>
    </w:p>
    <w:p w:rsidR="00B04E40" w:rsidRDefault="00B04E40" w:rsidP="00201F0B">
      <w:pPr>
        <w:spacing w:after="0" w:line="480" w:lineRule="auto"/>
        <w:ind w:firstLine="540"/>
        <w:jc w:val="both"/>
        <w:rPr>
          <w:rFonts w:ascii="Times New Roman" w:hAnsi="Times New Roman" w:cs="Times New Roman"/>
          <w:i/>
          <w:sz w:val="28"/>
          <w:szCs w:val="28"/>
          <w:u w:val="single"/>
        </w:rPr>
      </w:pPr>
    </w:p>
    <w:p w:rsidR="00B04E40" w:rsidRDefault="00B04E40" w:rsidP="00201F0B">
      <w:pPr>
        <w:spacing w:after="0" w:line="480" w:lineRule="auto"/>
        <w:ind w:firstLine="540"/>
        <w:jc w:val="both"/>
        <w:rPr>
          <w:rFonts w:ascii="Times New Roman" w:hAnsi="Times New Roman" w:cs="Times New Roman"/>
          <w:i/>
          <w:sz w:val="28"/>
          <w:szCs w:val="28"/>
          <w:u w:val="single"/>
        </w:rPr>
      </w:pPr>
    </w:p>
    <w:p w:rsidR="007F1258" w:rsidRDefault="008D60FB" w:rsidP="00201F0B">
      <w:pPr>
        <w:spacing w:after="0" w:line="480" w:lineRule="auto"/>
        <w:ind w:firstLine="540"/>
        <w:jc w:val="both"/>
        <w:rPr>
          <w:rFonts w:ascii="Times New Roman" w:hAnsi="Times New Roman" w:cs="Times New Roman"/>
          <w:i/>
          <w:sz w:val="28"/>
          <w:szCs w:val="28"/>
          <w:u w:val="single"/>
        </w:rPr>
      </w:pPr>
      <w:r>
        <w:rPr>
          <w:rFonts w:ascii="Times New Roman" w:hAnsi="Times New Roman" w:cs="Times New Roman"/>
          <w:i/>
          <w:sz w:val="28"/>
          <w:szCs w:val="28"/>
          <w:u w:val="single"/>
        </w:rPr>
        <w:lastRenderedPageBreak/>
        <w:t>Concluding Remarks</w:t>
      </w:r>
    </w:p>
    <w:p w:rsidR="008B1DFF" w:rsidRDefault="008B1DFF"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The paper examined the possibility of Dutch Disease in Armenia. Dutch Disease is a condition of the economy, where a boom in a tradable, natural resource driven sector causes a degradation of the rest of tradable sectors of the economy, mainly the manufacturing sector. The condition usually presents with real exchange rate appreciation. The main consequences of the condition are loss of competitiveness in the world market, wage inequality and inflation.</w:t>
      </w:r>
    </w:p>
    <w:p w:rsidR="008B1DFF" w:rsidRDefault="008B1DFF"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Armenia is a resource rich country, in a way that mining production contributes to the GDP and exports 80% of the products. The industry creates job opportunities, mainly in provinces, and offers wage distribution towards higher wages. </w:t>
      </w:r>
      <w:r w:rsidR="006E2A98">
        <w:rPr>
          <w:rFonts w:ascii="Times New Roman" w:hAnsi="Times New Roman" w:cs="Times New Roman"/>
          <w:sz w:val="24"/>
          <w:szCs w:val="24"/>
        </w:rPr>
        <w:t xml:space="preserve">The industry draws large foreign direct investment into the country. In addition to a growing mining sector, continuous and increasing inflow of remittances is also a threat of developing DD in Armenia. </w:t>
      </w:r>
    </w:p>
    <w:p w:rsidR="006E2A98" w:rsidRDefault="006E2A98" w:rsidP="006E2A98">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A closer analysis of the economy revealed signs of DD, with REER appreciation, wage inequality that cause labour shifts, deteriorating manufacturing sector, which lacks investment and skilled labour, and loss of competitiveness in the world market, shown in the poor export sophistication. The empirical analysis confirms that REER is appreciated by mining production and remittances increase, depreciated with money supply and governmental investment into assets. </w:t>
      </w:r>
    </w:p>
    <w:p w:rsidR="00A50F40" w:rsidRDefault="00C3795E" w:rsidP="00DE7930">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The economic state of the country shows all the signs of DD, but not the intensity of the condition. The paper concludes that Dutch Disease is a real threat in Armenia, yet the country isn’t so far along that path to formally establish the country suffers from DD. Awareness and clear policy against developing DD are necessary. </w:t>
      </w:r>
    </w:p>
    <w:p w:rsidR="008F5E3D" w:rsidRDefault="008F5E3D" w:rsidP="00223A37">
      <w:pPr>
        <w:spacing w:after="0" w:line="480" w:lineRule="auto"/>
        <w:jc w:val="both"/>
        <w:rPr>
          <w:rFonts w:ascii="Times New Roman" w:hAnsi="Times New Roman" w:cs="Times New Roman"/>
          <w:sz w:val="24"/>
          <w:szCs w:val="24"/>
        </w:rPr>
      </w:pPr>
    </w:p>
    <w:p w:rsidR="00AE5700" w:rsidRDefault="00AE5700" w:rsidP="00223A37">
      <w:pPr>
        <w:spacing w:after="0" w:line="480" w:lineRule="auto"/>
        <w:jc w:val="both"/>
        <w:rPr>
          <w:rFonts w:ascii="Times New Roman" w:hAnsi="Times New Roman" w:cs="Times New Roman"/>
          <w:sz w:val="24"/>
          <w:szCs w:val="24"/>
        </w:rPr>
      </w:pPr>
    </w:p>
    <w:p w:rsidR="00AE5700" w:rsidRDefault="00AE5700" w:rsidP="00223A37">
      <w:pPr>
        <w:spacing w:after="0" w:line="480" w:lineRule="auto"/>
        <w:jc w:val="both"/>
        <w:rPr>
          <w:rFonts w:ascii="Times New Roman" w:hAnsi="Times New Roman" w:cs="Times New Roman"/>
          <w:sz w:val="24"/>
          <w:szCs w:val="24"/>
        </w:rPr>
      </w:pPr>
    </w:p>
    <w:p w:rsidR="00433DBC" w:rsidRPr="00F864E6" w:rsidRDefault="00433DBC" w:rsidP="00433DBC">
      <w:pPr>
        <w:spacing w:after="480" w:line="240" w:lineRule="auto"/>
        <w:ind w:firstLine="446"/>
        <w:jc w:val="both"/>
        <w:rPr>
          <w:rFonts w:ascii="Times New Roman" w:hAnsi="Times New Roman" w:cs="Times New Roman"/>
          <w:i/>
          <w:sz w:val="32"/>
          <w:szCs w:val="32"/>
        </w:rPr>
      </w:pPr>
      <w:r w:rsidRPr="00F864E6">
        <w:rPr>
          <w:rFonts w:ascii="Times New Roman" w:hAnsi="Times New Roman" w:cs="Times New Roman"/>
          <w:i/>
          <w:sz w:val="32"/>
          <w:szCs w:val="32"/>
        </w:rPr>
        <w:lastRenderedPageBreak/>
        <w:t>References</w:t>
      </w: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W. Max Corden &amp; J. Peter Neary</w:t>
      </w:r>
      <w:r>
        <w:rPr>
          <w:rFonts w:ascii="Times New Roman" w:hAnsi="Times New Roman" w:cs="Times New Roman"/>
          <w:sz w:val="24"/>
          <w:szCs w:val="24"/>
        </w:rPr>
        <w:t>.</w:t>
      </w:r>
      <w:r w:rsidRPr="00F54776">
        <w:rPr>
          <w:rFonts w:ascii="Times New Roman" w:hAnsi="Times New Roman" w:cs="Times New Roman"/>
          <w:sz w:val="24"/>
          <w:szCs w:val="24"/>
        </w:rPr>
        <w:t xml:space="preserve"> 1982</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Booming Sector and De-Industrialization in a Small Open Economy</w:t>
      </w:r>
      <w:r w:rsidRPr="00F54776">
        <w:rPr>
          <w:rFonts w:ascii="Times New Roman" w:hAnsi="Times New Roman" w:cs="Times New Roman"/>
          <w:sz w:val="24"/>
          <w:szCs w:val="24"/>
        </w:rPr>
        <w:t>” The Economic Journal, Vol. 92, No. 368.</w:t>
      </w:r>
    </w:p>
    <w:p w:rsidR="00433DBC" w:rsidRDefault="00433DBC" w:rsidP="00433DBC">
      <w:pPr>
        <w:pStyle w:val="ListParagraph"/>
        <w:spacing w:after="480" w:line="240" w:lineRule="auto"/>
        <w:jc w:val="bot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Brunnschweiler, C. N. &amp; Bulte, E. H</w:t>
      </w:r>
      <w:r>
        <w:rPr>
          <w:rFonts w:ascii="Times New Roman" w:hAnsi="Times New Roman" w:cs="Times New Roman"/>
          <w:sz w:val="24"/>
          <w:szCs w:val="24"/>
        </w:rPr>
        <w:t>.</w:t>
      </w:r>
      <w:r w:rsidRPr="00F54776">
        <w:rPr>
          <w:rFonts w:ascii="Times New Roman" w:hAnsi="Times New Roman" w:cs="Times New Roman"/>
          <w:sz w:val="24"/>
          <w:szCs w:val="24"/>
        </w:rPr>
        <w:t xml:space="preserve"> 2008</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Natural Resources and Violent Conflict</w:t>
      </w:r>
      <w:r w:rsidRPr="00F54776">
        <w:rPr>
          <w:rFonts w:ascii="Times New Roman" w:hAnsi="Times New Roman" w:cs="Times New Roman"/>
          <w:sz w:val="24"/>
          <w:szCs w:val="24"/>
        </w:rPr>
        <w:t>” Center of Economic Research (CER-ETH) at ETH Zurich.</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G. Rajan &amp; A. Subramanian</w:t>
      </w:r>
      <w:r>
        <w:rPr>
          <w:rFonts w:ascii="Times New Roman" w:hAnsi="Times New Roman" w:cs="Times New Roman"/>
          <w:sz w:val="24"/>
          <w:szCs w:val="24"/>
        </w:rPr>
        <w:t>.</w:t>
      </w:r>
      <w:r w:rsidRPr="00F54776">
        <w:rPr>
          <w:rFonts w:ascii="Times New Roman" w:hAnsi="Times New Roman" w:cs="Times New Roman"/>
          <w:sz w:val="24"/>
          <w:szCs w:val="24"/>
        </w:rPr>
        <w:t xml:space="preserve"> 2008</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Aid and Growth: What does the Cross Country Evidence Really Show</w:t>
      </w:r>
      <w:r w:rsidRPr="00F54776">
        <w:rPr>
          <w:rFonts w:ascii="Times New Roman" w:hAnsi="Times New Roman" w:cs="Times New Roman"/>
          <w:sz w:val="24"/>
          <w:szCs w:val="24"/>
        </w:rPr>
        <w:t>” MIT Press National Bureau of Economic Research, Inc.</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A. Grigoryan</w:t>
      </w:r>
      <w:r>
        <w:rPr>
          <w:rFonts w:ascii="Times New Roman" w:hAnsi="Times New Roman" w:cs="Times New Roman"/>
          <w:sz w:val="24"/>
          <w:szCs w:val="24"/>
        </w:rPr>
        <w:t xml:space="preserve"> &amp; E. Begrakyan. 2012.</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Inequality, growth and industry s</w:t>
      </w:r>
      <w:r>
        <w:rPr>
          <w:rFonts w:ascii="Times New Roman" w:hAnsi="Times New Roman" w:cs="Times New Roman"/>
          <w:i/>
          <w:sz w:val="24"/>
          <w:szCs w:val="24"/>
        </w:rPr>
        <w:t>tructure: Evidence from Armenia.</w:t>
      </w:r>
      <w:r w:rsidRPr="00F54776">
        <w:rPr>
          <w:rFonts w:ascii="Times New Roman" w:hAnsi="Times New Roman" w:cs="Times New Roman"/>
          <w:i/>
          <w:sz w:val="24"/>
          <w:szCs w:val="24"/>
        </w:rPr>
        <w:t>”</w:t>
      </w:r>
      <w:r w:rsidRPr="00F54776">
        <w:rPr>
          <w:rFonts w:ascii="Times New Roman" w:hAnsi="Times New Roman" w:cs="Times New Roman"/>
          <w:sz w:val="24"/>
          <w:szCs w:val="24"/>
        </w:rPr>
        <w:t xml:space="preserve"> </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World Bank</w:t>
      </w:r>
      <w:r>
        <w:rPr>
          <w:rFonts w:ascii="Times New Roman" w:hAnsi="Times New Roman" w:cs="Times New Roman"/>
          <w:sz w:val="24"/>
          <w:szCs w:val="24"/>
        </w:rPr>
        <w:t xml:space="preserve"> Group. 2013.</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First Thematic Paper: Sustainable and Strategic Decision Making in Mining</w:t>
      </w:r>
      <w:r w:rsidRPr="00F54776">
        <w:rPr>
          <w:rFonts w:ascii="Times New Roman" w:hAnsi="Times New Roman" w:cs="Times New Roman"/>
          <w:sz w:val="24"/>
          <w:szCs w:val="24"/>
        </w:rPr>
        <w:t xml:space="preserve">“. Armenia, Sector Issues Paper, </w:t>
      </w:r>
      <w:r>
        <w:rPr>
          <w:rFonts w:ascii="Times New Roman" w:hAnsi="Times New Roman" w:cs="Times New Roman"/>
          <w:sz w:val="24"/>
          <w:szCs w:val="24"/>
        </w:rPr>
        <w:t>Washington, DC 20433</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A. Aguirre &amp;</w:t>
      </w:r>
      <w:r>
        <w:rPr>
          <w:rFonts w:ascii="Times New Roman" w:hAnsi="Times New Roman" w:cs="Times New Roman"/>
          <w:sz w:val="24"/>
          <w:szCs w:val="24"/>
        </w:rPr>
        <w:t xml:space="preserve"> C. Calderón.2005.</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Real Exchange Rate Misalignments and Economic Performance</w:t>
      </w:r>
      <w:r w:rsidRPr="00F54776">
        <w:rPr>
          <w:rFonts w:ascii="Times New Roman" w:hAnsi="Times New Roman" w:cs="Times New Roman"/>
          <w:sz w:val="24"/>
          <w:szCs w:val="24"/>
        </w:rPr>
        <w:t>.” Central Bank of Chile, Economic Research Division, Santiago.</w:t>
      </w:r>
    </w:p>
    <w:p w:rsidR="008265F5" w:rsidRPr="008265F5" w:rsidRDefault="008265F5" w:rsidP="008265F5">
      <w:pPr>
        <w:pStyle w:val="ListParagraph"/>
        <w:rPr>
          <w:rFonts w:ascii="Times New Roman" w:hAnsi="Times New Roman" w:cs="Times New Roman"/>
          <w:sz w:val="24"/>
          <w:szCs w:val="24"/>
        </w:rPr>
      </w:pPr>
    </w:p>
    <w:p w:rsidR="008265F5" w:rsidRDefault="008265F5" w:rsidP="00433DBC">
      <w:pPr>
        <w:pStyle w:val="ListParagraph"/>
        <w:numPr>
          <w:ilvl w:val="0"/>
          <w:numId w:val="1"/>
        </w:numPr>
        <w:spacing w:after="48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 Richards &amp; J. Waterbury. 2008. </w:t>
      </w:r>
      <w:r w:rsidRPr="008265F5">
        <w:rPr>
          <w:rFonts w:ascii="Times New Roman" w:hAnsi="Times New Roman" w:cs="Times New Roman"/>
          <w:i/>
          <w:sz w:val="24"/>
          <w:szCs w:val="24"/>
        </w:rPr>
        <w:t>A Political Economy of the Middle East</w:t>
      </w:r>
      <w:r>
        <w:rPr>
          <w:rFonts w:ascii="Times New Roman" w:hAnsi="Times New Roman" w:cs="Times New Roman"/>
          <w:sz w:val="24"/>
          <w:szCs w:val="24"/>
        </w:rPr>
        <w:t xml:space="preserve">. Westview Press Boulder, San Francisco, and Oxford. </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P. Collier &amp; B. Goderis</w:t>
      </w:r>
      <w:r>
        <w:rPr>
          <w:rFonts w:ascii="Times New Roman" w:hAnsi="Times New Roman" w:cs="Times New Roman"/>
          <w:sz w:val="24"/>
          <w:szCs w:val="24"/>
        </w:rPr>
        <w:t xml:space="preserve">. </w:t>
      </w:r>
      <w:r w:rsidRPr="00F54776">
        <w:rPr>
          <w:rFonts w:ascii="Times New Roman" w:hAnsi="Times New Roman" w:cs="Times New Roman"/>
          <w:sz w:val="24"/>
          <w:szCs w:val="24"/>
        </w:rPr>
        <w:t>2007</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Commodity Prices, Growth and the Natural Resources Curse: Reconciling a Conundrum</w:t>
      </w:r>
      <w:r w:rsidRPr="00F54776">
        <w:rPr>
          <w:rFonts w:ascii="Times New Roman" w:hAnsi="Times New Roman" w:cs="Times New Roman"/>
          <w:sz w:val="24"/>
          <w:szCs w:val="24"/>
        </w:rPr>
        <w:t>.”  Centre for the Study o</w:t>
      </w:r>
      <w:r>
        <w:rPr>
          <w:rFonts w:ascii="Times New Roman" w:hAnsi="Times New Roman" w:cs="Times New Roman"/>
          <w:sz w:val="24"/>
          <w:szCs w:val="24"/>
        </w:rPr>
        <w:t>f African Economies, Oxford, UK</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A. Gelb &amp; Associates</w:t>
      </w:r>
      <w:r>
        <w:rPr>
          <w:rFonts w:ascii="Times New Roman" w:hAnsi="Times New Roman" w:cs="Times New Roman"/>
          <w:sz w:val="24"/>
          <w:szCs w:val="24"/>
        </w:rPr>
        <w:t xml:space="preserve">. </w:t>
      </w:r>
      <w:r w:rsidRPr="00F54776">
        <w:rPr>
          <w:rFonts w:ascii="Times New Roman" w:hAnsi="Times New Roman" w:cs="Times New Roman"/>
          <w:sz w:val="24"/>
          <w:szCs w:val="24"/>
        </w:rPr>
        <w:t>1988</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iCs/>
          <w:sz w:val="24"/>
          <w:szCs w:val="24"/>
        </w:rPr>
        <w:t xml:space="preserve">Oil Windfalls: Blessing or Curse?” </w:t>
      </w:r>
      <w:r w:rsidRPr="00F54776">
        <w:rPr>
          <w:rFonts w:ascii="Times New Roman" w:hAnsi="Times New Roman" w:cs="Times New Roman"/>
          <w:sz w:val="24"/>
          <w:szCs w:val="24"/>
        </w:rPr>
        <w:t>World Bank, Washington, DC</w:t>
      </w:r>
      <w:r>
        <w:rPr>
          <w:rFonts w:ascii="Times New Roman" w:hAnsi="Times New Roman" w:cs="Times New Roman"/>
          <w:sz w:val="24"/>
          <w:szCs w:val="24"/>
        </w:rPr>
        <w:t xml:space="preserve">  20433</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R. Hausmann &amp;</w:t>
      </w:r>
      <w:r>
        <w:rPr>
          <w:rFonts w:ascii="Times New Roman" w:hAnsi="Times New Roman" w:cs="Times New Roman"/>
          <w:sz w:val="24"/>
          <w:szCs w:val="24"/>
        </w:rPr>
        <w:t xml:space="preserve"> R. Rigobon. 2003.</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An Alternative Interpretation of the ‘Resource Curse’: Theory and Policy Implications</w:t>
      </w:r>
      <w:r w:rsidRPr="00F54776">
        <w:rPr>
          <w:rFonts w:ascii="Times New Roman" w:hAnsi="Times New Roman" w:cs="Times New Roman"/>
          <w:sz w:val="24"/>
          <w:szCs w:val="24"/>
        </w:rPr>
        <w:t>.” National Bureau of Econom</w:t>
      </w:r>
      <w:r>
        <w:rPr>
          <w:rFonts w:ascii="Times New Roman" w:hAnsi="Times New Roman" w:cs="Times New Roman"/>
          <w:sz w:val="24"/>
          <w:szCs w:val="24"/>
        </w:rPr>
        <w:t>ic Research, Cambridge, MA</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K. Ismail</w:t>
      </w:r>
      <w:r>
        <w:rPr>
          <w:rFonts w:ascii="Times New Roman" w:hAnsi="Times New Roman" w:cs="Times New Roman"/>
          <w:sz w:val="24"/>
          <w:szCs w:val="24"/>
        </w:rPr>
        <w:t>. 2010.</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The Structural Manifestation of the ‘Dutch Disease’: The Case of Oil Exporting Countries</w:t>
      </w:r>
      <w:r w:rsidRPr="00F54776">
        <w:rPr>
          <w:rFonts w:ascii="Times New Roman" w:hAnsi="Times New Roman" w:cs="Times New Roman"/>
          <w:sz w:val="24"/>
          <w:szCs w:val="24"/>
        </w:rPr>
        <w:t xml:space="preserve">.” International </w:t>
      </w:r>
      <w:r>
        <w:rPr>
          <w:rFonts w:ascii="Times New Roman" w:hAnsi="Times New Roman" w:cs="Times New Roman"/>
          <w:sz w:val="24"/>
          <w:szCs w:val="24"/>
        </w:rPr>
        <w:t>Monetary Fund, Washington, DC</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N. V. Loayza, R. Rancière, L. Serven &amp; J. Ventura</w:t>
      </w:r>
      <w:r>
        <w:rPr>
          <w:rFonts w:ascii="Times New Roman" w:hAnsi="Times New Roman" w:cs="Times New Roman"/>
          <w:sz w:val="24"/>
          <w:szCs w:val="24"/>
        </w:rPr>
        <w:t>.</w:t>
      </w:r>
      <w:r w:rsidRPr="00F54776">
        <w:rPr>
          <w:rFonts w:ascii="Times New Roman" w:hAnsi="Times New Roman" w:cs="Times New Roman"/>
          <w:sz w:val="24"/>
          <w:szCs w:val="24"/>
        </w:rPr>
        <w:t xml:space="preserve"> 2007</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Macroeconomic Volatility and Welfare in Developing Countries: An Introduction</w:t>
      </w:r>
      <w:r w:rsidRPr="00F54776">
        <w:rPr>
          <w:rFonts w:ascii="Times New Roman" w:hAnsi="Times New Roman" w:cs="Times New Roman"/>
          <w:sz w:val="24"/>
          <w:szCs w:val="24"/>
        </w:rPr>
        <w:t xml:space="preserve">.” </w:t>
      </w:r>
      <w:r w:rsidRPr="00F54776">
        <w:rPr>
          <w:rFonts w:ascii="Times New Roman" w:hAnsi="Times New Roman" w:cs="Times New Roman"/>
          <w:iCs/>
          <w:sz w:val="24"/>
          <w:szCs w:val="24"/>
        </w:rPr>
        <w:t xml:space="preserve">World Bank Economic Review </w:t>
      </w:r>
      <w:r w:rsidRPr="00F54776">
        <w:rPr>
          <w:rFonts w:ascii="Times New Roman" w:hAnsi="Times New Roman" w:cs="Times New Roman"/>
          <w:sz w:val="24"/>
          <w:szCs w:val="24"/>
        </w:rPr>
        <w:t>21.</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Pr>
          <w:rFonts w:ascii="Times New Roman" w:hAnsi="Times New Roman" w:cs="Times New Roman"/>
          <w:sz w:val="24"/>
          <w:szCs w:val="24"/>
        </w:rPr>
        <w:t>X. Sala-i-Martin</w:t>
      </w:r>
      <w:r w:rsidRPr="00F54776">
        <w:rPr>
          <w:rFonts w:ascii="Times New Roman" w:hAnsi="Times New Roman" w:cs="Times New Roman"/>
          <w:sz w:val="24"/>
          <w:szCs w:val="24"/>
        </w:rPr>
        <w:t xml:space="preserve"> &amp; A. Subramanian</w:t>
      </w:r>
      <w:r>
        <w:rPr>
          <w:rFonts w:ascii="Times New Roman" w:hAnsi="Times New Roman" w:cs="Times New Roman"/>
          <w:sz w:val="24"/>
          <w:szCs w:val="24"/>
        </w:rPr>
        <w:t>.</w:t>
      </w:r>
      <w:r w:rsidRPr="00F54776">
        <w:rPr>
          <w:rFonts w:ascii="Times New Roman" w:hAnsi="Times New Roman" w:cs="Times New Roman"/>
          <w:sz w:val="24"/>
          <w:szCs w:val="24"/>
        </w:rPr>
        <w:t xml:space="preserve"> 2003</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Addressing the Natural Resource Curse: An Illustration from Nigeria.”</w:t>
      </w:r>
      <w:r w:rsidRPr="00F54776">
        <w:rPr>
          <w:rFonts w:ascii="Times New Roman" w:hAnsi="Times New Roman" w:cs="Times New Roman"/>
          <w:sz w:val="24"/>
          <w:szCs w:val="24"/>
        </w:rPr>
        <w:t xml:space="preserve"> International Monetary Fund, Washington, </w:t>
      </w:r>
      <w:r>
        <w:rPr>
          <w:rFonts w:ascii="Times New Roman" w:hAnsi="Times New Roman" w:cs="Times New Roman"/>
          <w:sz w:val="24"/>
          <w:szCs w:val="24"/>
        </w:rPr>
        <w:t>DC</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 xml:space="preserve">N. </w:t>
      </w:r>
      <w:r>
        <w:rPr>
          <w:rFonts w:ascii="Times New Roman" w:hAnsi="Times New Roman" w:cs="Times New Roman"/>
          <w:sz w:val="24"/>
          <w:szCs w:val="24"/>
        </w:rPr>
        <w:t>Spatafora</w:t>
      </w:r>
      <w:r w:rsidRPr="00F54776">
        <w:rPr>
          <w:rFonts w:ascii="Times New Roman" w:hAnsi="Times New Roman" w:cs="Times New Roman"/>
          <w:sz w:val="24"/>
          <w:szCs w:val="24"/>
        </w:rPr>
        <w:t xml:space="preserve"> &amp; A. Warner</w:t>
      </w:r>
      <w:r>
        <w:rPr>
          <w:rFonts w:ascii="Times New Roman" w:hAnsi="Times New Roman" w:cs="Times New Roman"/>
          <w:sz w:val="24"/>
          <w:szCs w:val="24"/>
        </w:rPr>
        <w:t>.</w:t>
      </w:r>
      <w:r w:rsidRPr="00F54776">
        <w:rPr>
          <w:rFonts w:ascii="Times New Roman" w:hAnsi="Times New Roman" w:cs="Times New Roman"/>
          <w:sz w:val="24"/>
          <w:szCs w:val="24"/>
        </w:rPr>
        <w:t xml:space="preserve"> 1995</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Macroeconomic Effects of Terms-of- Trade Shocks</w:t>
      </w:r>
      <w:r w:rsidRPr="00F54776">
        <w:rPr>
          <w:rFonts w:ascii="Times New Roman" w:hAnsi="Times New Roman" w:cs="Times New Roman"/>
          <w:sz w:val="24"/>
          <w:szCs w:val="24"/>
        </w:rPr>
        <w:t xml:space="preserve">.” Policy Research International Monetary </w:t>
      </w:r>
      <w:r>
        <w:rPr>
          <w:rFonts w:ascii="Times New Roman" w:hAnsi="Times New Roman" w:cs="Times New Roman"/>
          <w:sz w:val="24"/>
          <w:szCs w:val="24"/>
        </w:rPr>
        <w:t>Fund, Washington, DC</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lastRenderedPageBreak/>
        <w:t>Brunnschweiler, N. Christa &amp; Bulte, Erwin H. 2008</w:t>
      </w:r>
      <w:r>
        <w:rPr>
          <w:rFonts w:ascii="Times New Roman" w:hAnsi="Times New Roman" w:cs="Times New Roman"/>
          <w:sz w:val="24"/>
          <w:szCs w:val="24"/>
        </w:rPr>
        <w:t>.</w:t>
      </w:r>
      <w:r w:rsidRPr="00F54776">
        <w:rPr>
          <w:rFonts w:ascii="Times New Roman" w:hAnsi="Times New Roman" w:cs="Times New Roman"/>
          <w:sz w:val="24"/>
          <w:szCs w:val="24"/>
        </w:rPr>
        <w:t xml:space="preserve"> "</w:t>
      </w:r>
      <w:hyperlink r:id="rId24" w:history="1">
        <w:r w:rsidRPr="00F54776">
          <w:rPr>
            <w:rFonts w:ascii="Times New Roman" w:hAnsi="Times New Roman" w:cs="Times New Roman"/>
            <w:bCs/>
            <w:i/>
            <w:sz w:val="24"/>
            <w:szCs w:val="24"/>
          </w:rPr>
          <w:t>The resource curse revisited and revised: A tale of paradoxes and red herrings</w:t>
        </w:r>
      </w:hyperlink>
      <w:r w:rsidRPr="00F54776">
        <w:rPr>
          <w:rFonts w:ascii="Times New Roman" w:hAnsi="Times New Roman" w:cs="Times New Roman"/>
          <w:sz w:val="24"/>
          <w:szCs w:val="24"/>
        </w:rPr>
        <w:t>," </w:t>
      </w:r>
      <w:hyperlink r:id="rId25" w:history="1">
        <w:r w:rsidRPr="00F54776">
          <w:rPr>
            <w:rFonts w:ascii="Times New Roman" w:hAnsi="Times New Roman" w:cs="Times New Roman"/>
            <w:sz w:val="24"/>
            <w:szCs w:val="24"/>
          </w:rPr>
          <w:t>Journal of Environmental Economics and Management</w:t>
        </w:r>
      </w:hyperlink>
      <w:r w:rsidRPr="00F54776">
        <w:rPr>
          <w:rFonts w:ascii="Times New Roman" w:hAnsi="Times New Roman" w:cs="Times New Roman"/>
          <w:sz w:val="24"/>
          <w:szCs w:val="24"/>
        </w:rPr>
        <w:t xml:space="preserve">, </w:t>
      </w:r>
      <w:r>
        <w:rPr>
          <w:rFonts w:ascii="Times New Roman" w:hAnsi="Times New Roman" w:cs="Times New Roman"/>
          <w:sz w:val="24"/>
          <w:szCs w:val="24"/>
        </w:rPr>
        <w:t>Elsevier</w:t>
      </w:r>
      <w:r w:rsidRPr="00F54776">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Joshua Aizenman &amp; Nancy P. Marion</w:t>
      </w:r>
      <w:r>
        <w:rPr>
          <w:rFonts w:ascii="Times New Roman" w:hAnsi="Times New Roman" w:cs="Times New Roman"/>
          <w:sz w:val="24"/>
          <w:szCs w:val="24"/>
        </w:rPr>
        <w:t xml:space="preserve">. </w:t>
      </w:r>
      <w:r w:rsidRPr="00F54776">
        <w:rPr>
          <w:rFonts w:ascii="Times New Roman" w:hAnsi="Times New Roman" w:cs="Times New Roman"/>
          <w:sz w:val="24"/>
          <w:szCs w:val="24"/>
        </w:rPr>
        <w:t>1999. "</w:t>
      </w:r>
      <w:hyperlink r:id="rId26" w:history="1">
        <w:r w:rsidRPr="00F54776">
          <w:rPr>
            <w:rFonts w:ascii="Times New Roman" w:hAnsi="Times New Roman" w:cs="Times New Roman"/>
            <w:i/>
            <w:sz w:val="24"/>
            <w:szCs w:val="24"/>
          </w:rPr>
          <w:t>Uncertainty and the Disappearance of International Credit</w:t>
        </w:r>
      </w:hyperlink>
      <w:r>
        <w:rPr>
          <w:rFonts w:ascii="Times New Roman" w:hAnsi="Times New Roman" w:cs="Times New Roman"/>
          <w:i/>
          <w:sz w:val="24"/>
          <w:szCs w:val="24"/>
        </w:rPr>
        <w:t>"</w:t>
      </w:r>
      <w:r w:rsidRPr="00F54776">
        <w:rPr>
          <w:rFonts w:ascii="Times New Roman" w:hAnsi="Times New Roman" w:cs="Times New Roman"/>
          <w:i/>
          <w:sz w:val="24"/>
          <w:szCs w:val="24"/>
        </w:rPr>
        <w:t xml:space="preserve"> </w:t>
      </w:r>
      <w:r w:rsidRPr="00F54776">
        <w:rPr>
          <w:rFonts w:ascii="Times New Roman" w:hAnsi="Times New Roman" w:cs="Times New Roman"/>
          <w:sz w:val="24"/>
          <w:szCs w:val="24"/>
        </w:rPr>
        <w:t xml:space="preserve">National Bureau of Economic Research, Inc. </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V. Cheterian, M. Beilstein &amp; C. Daniel</w:t>
      </w:r>
      <w:r>
        <w:rPr>
          <w:rFonts w:ascii="Times New Roman" w:hAnsi="Times New Roman" w:cs="Times New Roman"/>
          <w:sz w:val="24"/>
          <w:szCs w:val="24"/>
        </w:rPr>
        <w:t xml:space="preserve">. </w:t>
      </w:r>
      <w:r w:rsidRPr="00F54776">
        <w:rPr>
          <w:rFonts w:ascii="Times New Roman" w:hAnsi="Times New Roman" w:cs="Times New Roman"/>
          <w:sz w:val="24"/>
          <w:szCs w:val="24"/>
        </w:rPr>
        <w:t>2012</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Mining in Armenia</w:t>
      </w:r>
      <w:r w:rsidRPr="00F54776">
        <w:rPr>
          <w:rFonts w:ascii="Times New Roman" w:hAnsi="Times New Roman" w:cs="Times New Roman"/>
          <w:sz w:val="24"/>
          <w:szCs w:val="24"/>
        </w:rPr>
        <w:t>.” Zoi Report 3</w:t>
      </w:r>
      <w:r>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World Ba</w:t>
      </w:r>
      <w:r>
        <w:rPr>
          <w:rFonts w:ascii="Times New Roman" w:hAnsi="Times New Roman" w:cs="Times New Roman"/>
          <w:sz w:val="24"/>
          <w:szCs w:val="24"/>
        </w:rPr>
        <w:t>nk Group – Armenian Partnership.</w:t>
      </w:r>
      <w:r w:rsidRPr="00F54776">
        <w:rPr>
          <w:rFonts w:ascii="Times New Roman" w:hAnsi="Times New Roman" w:cs="Times New Roman"/>
          <w:sz w:val="24"/>
          <w:szCs w:val="24"/>
        </w:rPr>
        <w:t xml:space="preserve"> 2014</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Country Program Snapshot</w:t>
      </w:r>
      <w:r w:rsidRPr="00F54776">
        <w:rPr>
          <w:rFonts w:ascii="Times New Roman" w:hAnsi="Times New Roman" w:cs="Times New Roman"/>
          <w:sz w:val="24"/>
          <w:szCs w:val="24"/>
        </w:rPr>
        <w:t>” International Finance Corporation, The International Bank for Reconstruction and Development/World Bank</w:t>
      </w:r>
      <w:r>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M. Hergnyan, S. Hovhannisyan, S. Grigory</w:t>
      </w:r>
      <w:r>
        <w:rPr>
          <w:rFonts w:ascii="Times New Roman" w:hAnsi="Times New Roman" w:cs="Times New Roman"/>
          <w:sz w:val="24"/>
          <w:szCs w:val="24"/>
        </w:rPr>
        <w:t xml:space="preserve">an &amp; others. </w:t>
      </w:r>
      <w:r w:rsidRPr="00F54776">
        <w:rPr>
          <w:rFonts w:ascii="Times New Roman" w:hAnsi="Times New Roman" w:cs="Times New Roman"/>
          <w:sz w:val="24"/>
          <w:szCs w:val="24"/>
        </w:rPr>
        <w:t>2014</w:t>
      </w:r>
      <w:r>
        <w:rPr>
          <w:rFonts w:ascii="Times New Roman" w:hAnsi="Times New Roman" w:cs="Times New Roman"/>
          <w:sz w:val="24"/>
          <w:szCs w:val="24"/>
        </w:rPr>
        <w:t>.</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National Competitiveness Report of Armenia 2013-2014</w:t>
      </w:r>
      <w:r w:rsidRPr="00F54776">
        <w:rPr>
          <w:rFonts w:ascii="Times New Roman" w:hAnsi="Times New Roman" w:cs="Times New Roman"/>
          <w:sz w:val="24"/>
          <w:szCs w:val="24"/>
        </w:rPr>
        <w:t>” EV Consulting Economy and Value Research Center</w:t>
      </w:r>
      <w:r>
        <w:rPr>
          <w:rFonts w:ascii="Times New Roman" w:hAnsi="Times New Roman" w:cs="Times New Roman"/>
          <w:sz w:val="24"/>
          <w:szCs w:val="24"/>
        </w:rPr>
        <w:t>.</w:t>
      </w:r>
    </w:p>
    <w:p w:rsidR="00433DBC" w:rsidRPr="00F54776" w:rsidRDefault="00433DBC" w:rsidP="00433DBC">
      <w:pPr>
        <w:pStyle w:val="ListParagraph"/>
        <w:rPr>
          <w:rFonts w:ascii="Times New Roman" w:hAnsi="Times New Roman" w:cs="Times New Roman"/>
          <w:sz w:val="24"/>
          <w:szCs w:val="24"/>
        </w:rPr>
      </w:pPr>
    </w:p>
    <w:p w:rsidR="00433DBC" w:rsidRPr="00F54776" w:rsidRDefault="00433DBC" w:rsidP="00433DBC">
      <w:pPr>
        <w:pStyle w:val="ListParagraph"/>
        <w:numPr>
          <w:ilvl w:val="0"/>
          <w:numId w:val="1"/>
        </w:numPr>
        <w:spacing w:after="480" w:line="240" w:lineRule="auto"/>
        <w:ind w:left="720"/>
        <w:jc w:val="both"/>
        <w:rPr>
          <w:rFonts w:ascii="Times New Roman" w:hAnsi="Times New Roman" w:cs="Times New Roman"/>
          <w:sz w:val="24"/>
          <w:szCs w:val="24"/>
        </w:rPr>
      </w:pPr>
      <w:r w:rsidRPr="00F54776">
        <w:rPr>
          <w:rFonts w:ascii="Times New Roman" w:hAnsi="Times New Roman" w:cs="Times New Roman"/>
          <w:sz w:val="24"/>
          <w:szCs w:val="24"/>
        </w:rPr>
        <w:t>E. Safirova</w:t>
      </w:r>
      <w:r>
        <w:rPr>
          <w:rFonts w:ascii="Times New Roman" w:hAnsi="Times New Roman" w:cs="Times New Roman"/>
          <w:sz w:val="24"/>
          <w:szCs w:val="24"/>
        </w:rPr>
        <w:t>. 2011.</w:t>
      </w:r>
      <w:r w:rsidRPr="00F54776">
        <w:rPr>
          <w:rFonts w:ascii="Times New Roman" w:hAnsi="Times New Roman" w:cs="Times New Roman"/>
          <w:sz w:val="24"/>
          <w:szCs w:val="24"/>
        </w:rPr>
        <w:t xml:space="preserve"> “</w:t>
      </w:r>
      <w:r w:rsidRPr="00F54776">
        <w:rPr>
          <w:rFonts w:ascii="Times New Roman" w:hAnsi="Times New Roman" w:cs="Times New Roman"/>
          <w:i/>
          <w:sz w:val="24"/>
          <w:szCs w:val="24"/>
        </w:rPr>
        <w:t>2011 Minerals Yearbook, Armenia</w:t>
      </w:r>
      <w:r w:rsidRPr="00F54776">
        <w:rPr>
          <w:rFonts w:ascii="Times New Roman" w:hAnsi="Times New Roman" w:cs="Times New Roman"/>
          <w:sz w:val="24"/>
          <w:szCs w:val="24"/>
        </w:rPr>
        <w:t>” U.S. Department of the Interior U.S. Geological Survey [Advance Release]</w:t>
      </w:r>
      <w:r>
        <w:rPr>
          <w:rFonts w:ascii="Times New Roman" w:hAnsi="Times New Roman" w:cs="Times New Roman"/>
          <w:sz w:val="24"/>
          <w:szCs w:val="24"/>
        </w:rPr>
        <w:t>.</w:t>
      </w:r>
    </w:p>
    <w:p w:rsidR="00433DBC" w:rsidRPr="007A3FEA" w:rsidRDefault="00433DBC" w:rsidP="00433DBC">
      <w:pPr>
        <w:spacing w:after="480" w:line="240" w:lineRule="auto"/>
        <w:ind w:firstLine="446"/>
        <w:jc w:val="both"/>
        <w:rPr>
          <w:rFonts w:ascii="Times New Roman" w:hAnsi="Times New Roman" w:cs="Times New Roman"/>
          <w:i/>
          <w:sz w:val="24"/>
          <w:szCs w:val="24"/>
          <w:u w:val="single"/>
        </w:rPr>
      </w:pPr>
      <w:r w:rsidRPr="007A3FEA">
        <w:rPr>
          <w:rFonts w:ascii="Times New Roman" w:hAnsi="Times New Roman" w:cs="Times New Roman"/>
          <w:i/>
          <w:sz w:val="24"/>
          <w:szCs w:val="24"/>
          <w:u w:val="single"/>
        </w:rPr>
        <w:t>Data Sources</w:t>
      </w:r>
    </w:p>
    <w:p w:rsidR="00433DBC" w:rsidRDefault="00433DBC" w:rsidP="00433DBC">
      <w:pPr>
        <w:pStyle w:val="ListParagraph"/>
        <w:numPr>
          <w:ilvl w:val="0"/>
          <w:numId w:val="1"/>
        </w:numPr>
        <w:spacing w:after="480" w:line="240" w:lineRule="auto"/>
        <w:jc w:val="both"/>
        <w:rPr>
          <w:rFonts w:ascii="Times New Roman" w:hAnsi="Times New Roman" w:cs="Times New Roman"/>
          <w:sz w:val="24"/>
          <w:szCs w:val="24"/>
        </w:rPr>
      </w:pPr>
      <w:r w:rsidRPr="00F54776">
        <w:rPr>
          <w:rFonts w:ascii="Times New Roman" w:hAnsi="Times New Roman" w:cs="Times New Roman"/>
          <w:sz w:val="24"/>
          <w:szCs w:val="24"/>
        </w:rPr>
        <w:t xml:space="preserve">Central Bank of Armenia. </w:t>
      </w:r>
      <w:r>
        <w:rPr>
          <w:rFonts w:ascii="Times New Roman" w:hAnsi="Times New Roman" w:cs="Times New Roman"/>
          <w:sz w:val="24"/>
          <w:szCs w:val="24"/>
        </w:rPr>
        <w:t>https://www.cba.am/en/SitePages/statdatabank1.aspx</w:t>
      </w:r>
    </w:p>
    <w:p w:rsidR="00433DBC" w:rsidRDefault="00433DBC" w:rsidP="00433DBC">
      <w:pPr>
        <w:pStyle w:val="ListParagraph"/>
        <w:spacing w:after="480" w:line="240" w:lineRule="auto"/>
        <w:ind w:left="1166"/>
        <w:jc w:val="bot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jc w:val="both"/>
        <w:rPr>
          <w:rFonts w:ascii="Times New Roman" w:hAnsi="Times New Roman" w:cs="Times New Roman"/>
          <w:sz w:val="24"/>
          <w:szCs w:val="24"/>
        </w:rPr>
      </w:pPr>
      <w:r w:rsidRPr="00F54776">
        <w:rPr>
          <w:rFonts w:ascii="Times New Roman" w:hAnsi="Times New Roman" w:cs="Times New Roman"/>
          <w:sz w:val="24"/>
          <w:szCs w:val="24"/>
        </w:rPr>
        <w:t xml:space="preserve">National Statistical Service of RA. </w:t>
      </w:r>
      <w:r>
        <w:rPr>
          <w:rFonts w:ascii="Times New Roman" w:hAnsi="Times New Roman" w:cs="Times New Roman"/>
          <w:sz w:val="24"/>
          <w:szCs w:val="24"/>
        </w:rPr>
        <w:t>http://armstat.am/en/?nid=246</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jc w:val="both"/>
        <w:rPr>
          <w:rFonts w:ascii="Times New Roman" w:hAnsi="Times New Roman" w:cs="Times New Roman"/>
          <w:sz w:val="24"/>
          <w:szCs w:val="24"/>
        </w:rPr>
      </w:pPr>
      <w:r w:rsidRPr="00F54776">
        <w:rPr>
          <w:rFonts w:ascii="Times New Roman" w:hAnsi="Times New Roman" w:cs="Times New Roman"/>
          <w:sz w:val="24"/>
          <w:szCs w:val="24"/>
        </w:rPr>
        <w:t xml:space="preserve">World Bank Database. </w:t>
      </w:r>
      <w:r>
        <w:rPr>
          <w:rFonts w:ascii="Times New Roman" w:hAnsi="Times New Roman" w:cs="Times New Roman"/>
          <w:sz w:val="24"/>
          <w:szCs w:val="24"/>
        </w:rPr>
        <w:t>http://data.worldbank.org/indicator</w:t>
      </w:r>
    </w:p>
    <w:p w:rsidR="00433DBC" w:rsidRPr="00F54776" w:rsidRDefault="00433DBC" w:rsidP="00433DBC">
      <w:pPr>
        <w:pStyle w:val="ListParagraph"/>
        <w:rPr>
          <w:rFonts w:ascii="Times New Roman" w:hAnsi="Times New Roman" w:cs="Times New Roman"/>
          <w:sz w:val="24"/>
          <w:szCs w:val="24"/>
        </w:rPr>
      </w:pPr>
    </w:p>
    <w:p w:rsidR="00433DBC" w:rsidRPr="00433DBC" w:rsidRDefault="00433DBC" w:rsidP="00433DBC">
      <w:pPr>
        <w:pStyle w:val="ListParagraph"/>
        <w:numPr>
          <w:ilvl w:val="0"/>
          <w:numId w:val="1"/>
        </w:numPr>
        <w:spacing w:after="480" w:line="240" w:lineRule="auto"/>
        <w:jc w:val="both"/>
        <w:rPr>
          <w:rStyle w:val="Hyperlink"/>
          <w:rFonts w:ascii="Times New Roman" w:hAnsi="Times New Roman" w:cs="Times New Roman"/>
          <w:color w:val="auto"/>
          <w:sz w:val="24"/>
          <w:szCs w:val="24"/>
          <w:u w:val="none"/>
        </w:rPr>
      </w:pPr>
      <w:r w:rsidRPr="00D95F72">
        <w:rPr>
          <w:rFonts w:ascii="Times New Roman" w:hAnsi="Times New Roman" w:cs="Times New Roman"/>
          <w:sz w:val="24"/>
          <w:szCs w:val="24"/>
        </w:rPr>
        <w:t xml:space="preserve">Central Intelligence Agency. </w:t>
      </w:r>
      <w:hyperlink r:id="rId27" w:history="1">
        <w:r w:rsidRPr="00433DBC">
          <w:rPr>
            <w:rStyle w:val="Hyperlink"/>
            <w:rFonts w:ascii="Times New Roman" w:hAnsi="Times New Roman" w:cs="Times New Roman"/>
            <w:color w:val="auto"/>
            <w:sz w:val="24"/>
            <w:szCs w:val="24"/>
            <w:u w:val="none"/>
          </w:rPr>
          <w:t>https://www.cia.gov/library/publications/the-world-factbook/rankorder/rankorderguide.html</w:t>
        </w:r>
      </w:hyperlink>
    </w:p>
    <w:p w:rsidR="00433DBC" w:rsidRPr="00433DBC" w:rsidRDefault="00433DBC" w:rsidP="00433DBC">
      <w:pPr>
        <w:pStyle w:val="ListParagraph"/>
        <w:rPr>
          <w:rStyle w:val="Hyperlink"/>
          <w:rFonts w:ascii="Times New Roman" w:hAnsi="Times New Roman" w:cs="Times New Roman"/>
          <w:color w:val="auto"/>
          <w:sz w:val="24"/>
          <w:szCs w:val="24"/>
          <w:u w:val="none"/>
        </w:rPr>
      </w:pPr>
    </w:p>
    <w:p w:rsidR="00433DBC" w:rsidRPr="00433DBC" w:rsidRDefault="00433DBC" w:rsidP="00433DBC">
      <w:pPr>
        <w:pStyle w:val="ListParagraph"/>
        <w:numPr>
          <w:ilvl w:val="0"/>
          <w:numId w:val="1"/>
        </w:numPr>
        <w:spacing w:after="480" w:line="240" w:lineRule="auto"/>
        <w:jc w:val="both"/>
        <w:rPr>
          <w:rStyle w:val="Hyperlink"/>
          <w:rFonts w:ascii="Times New Roman" w:hAnsi="Times New Roman" w:cs="Times New Roman"/>
          <w:color w:val="auto"/>
          <w:sz w:val="24"/>
          <w:szCs w:val="24"/>
          <w:u w:val="none"/>
        </w:rPr>
      </w:pPr>
      <w:r w:rsidRPr="00433DBC">
        <w:rPr>
          <w:rStyle w:val="Hyperlink"/>
          <w:rFonts w:ascii="Times New Roman" w:hAnsi="Times New Roman" w:cs="Times New Roman"/>
          <w:color w:val="auto"/>
          <w:sz w:val="24"/>
          <w:szCs w:val="24"/>
          <w:u w:val="none"/>
        </w:rPr>
        <w:t>Asian Development Bank. http://www.adb.org/publications/armenia-fact-sheet</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jc w:val="both"/>
        <w:rPr>
          <w:rFonts w:ascii="Times New Roman" w:hAnsi="Times New Roman" w:cs="Times New Roman"/>
          <w:sz w:val="24"/>
          <w:szCs w:val="24"/>
        </w:rPr>
      </w:pPr>
      <w:r w:rsidRPr="00F54776">
        <w:rPr>
          <w:rFonts w:ascii="Times New Roman" w:hAnsi="Times New Roman" w:cs="Times New Roman"/>
          <w:sz w:val="24"/>
          <w:szCs w:val="24"/>
        </w:rPr>
        <w:t xml:space="preserve">United Nations Industrial Development Organization. </w:t>
      </w:r>
      <w:r>
        <w:rPr>
          <w:rFonts w:ascii="Times New Roman" w:hAnsi="Times New Roman" w:cs="Times New Roman"/>
          <w:sz w:val="24"/>
          <w:szCs w:val="24"/>
        </w:rPr>
        <w:t>http://stat.unido.org/</w:t>
      </w:r>
    </w:p>
    <w:p w:rsidR="00433DBC" w:rsidRPr="00F54776" w:rsidRDefault="00433DBC" w:rsidP="00433DBC">
      <w:pPr>
        <w:pStyle w:val="ListParagraph"/>
        <w:rPr>
          <w:rFonts w:ascii="Times New Roman" w:hAnsi="Times New Roman" w:cs="Times New Roman"/>
          <w:sz w:val="24"/>
          <w:szCs w:val="24"/>
        </w:rPr>
      </w:pPr>
    </w:p>
    <w:p w:rsidR="00433DBC" w:rsidRDefault="00433DBC" w:rsidP="00433DBC">
      <w:pPr>
        <w:pStyle w:val="ListParagraph"/>
        <w:numPr>
          <w:ilvl w:val="0"/>
          <w:numId w:val="1"/>
        </w:numPr>
        <w:spacing w:after="480" w:line="240" w:lineRule="auto"/>
        <w:rPr>
          <w:rFonts w:ascii="Times New Roman" w:hAnsi="Times New Roman" w:cs="Times New Roman"/>
          <w:sz w:val="24"/>
          <w:szCs w:val="24"/>
        </w:rPr>
      </w:pPr>
      <w:r w:rsidRPr="00F54776">
        <w:rPr>
          <w:rFonts w:ascii="Times New Roman" w:hAnsi="Times New Roman" w:cs="Times New Roman"/>
          <w:sz w:val="24"/>
          <w:szCs w:val="24"/>
        </w:rPr>
        <w:t>Unit</w:t>
      </w:r>
      <w:r>
        <w:rPr>
          <w:rFonts w:ascii="Times New Roman" w:hAnsi="Times New Roman" w:cs="Times New Roman"/>
          <w:sz w:val="24"/>
          <w:szCs w:val="24"/>
        </w:rPr>
        <w:t>ed Nations Statistics Division. http://unstats.un.org/unsd/economic_main.htm</w:t>
      </w:r>
    </w:p>
    <w:p w:rsidR="00433DBC" w:rsidRPr="0005580A" w:rsidRDefault="00433DBC" w:rsidP="00433DBC">
      <w:pPr>
        <w:pStyle w:val="ListParagraph"/>
        <w:rPr>
          <w:rFonts w:ascii="Times New Roman" w:hAnsi="Times New Roman" w:cs="Times New Roman"/>
          <w:sz w:val="24"/>
          <w:szCs w:val="24"/>
        </w:rPr>
      </w:pPr>
    </w:p>
    <w:p w:rsidR="00433DBC" w:rsidRPr="0005580A" w:rsidRDefault="00433DBC" w:rsidP="00433DBC">
      <w:pPr>
        <w:pStyle w:val="ListParagraph"/>
        <w:numPr>
          <w:ilvl w:val="0"/>
          <w:numId w:val="1"/>
        </w:numPr>
        <w:spacing w:after="480" w:line="240" w:lineRule="auto"/>
        <w:rPr>
          <w:rFonts w:ascii="Times New Roman" w:hAnsi="Times New Roman" w:cs="Times New Roman"/>
          <w:sz w:val="24"/>
          <w:szCs w:val="24"/>
        </w:rPr>
      </w:pPr>
      <w:r w:rsidRPr="0005580A">
        <w:rPr>
          <w:rFonts w:ascii="Times New Roman" w:hAnsi="Times New Roman" w:cs="Times New Roman"/>
          <w:sz w:val="24"/>
          <w:szCs w:val="24"/>
        </w:rPr>
        <w:t>The Statistics Portal. http://www.statista.com/statistics/208715/total-revenue-of-the-top-mining-companies/</w:t>
      </w:r>
    </w:p>
    <w:p w:rsidR="00433DBC" w:rsidRDefault="00433DBC" w:rsidP="00223A37">
      <w:pPr>
        <w:spacing w:after="0" w:line="480" w:lineRule="auto"/>
        <w:jc w:val="both"/>
        <w:rPr>
          <w:rFonts w:ascii="Times New Roman" w:hAnsi="Times New Roman" w:cs="Times New Roman"/>
          <w:sz w:val="24"/>
          <w:szCs w:val="24"/>
        </w:rPr>
      </w:pPr>
    </w:p>
    <w:p w:rsidR="00372BE0" w:rsidRDefault="00372BE0" w:rsidP="00223A37">
      <w:pPr>
        <w:spacing w:after="0" w:line="480" w:lineRule="auto"/>
        <w:jc w:val="both"/>
        <w:rPr>
          <w:rFonts w:ascii="Times New Roman" w:hAnsi="Times New Roman" w:cs="Times New Roman"/>
          <w:sz w:val="24"/>
          <w:szCs w:val="24"/>
        </w:rPr>
      </w:pPr>
    </w:p>
    <w:p w:rsidR="00372BE0" w:rsidRDefault="00372BE0" w:rsidP="00223A37">
      <w:pPr>
        <w:spacing w:after="0" w:line="480" w:lineRule="auto"/>
        <w:jc w:val="both"/>
        <w:rPr>
          <w:rFonts w:ascii="Times New Roman" w:hAnsi="Times New Roman" w:cs="Times New Roman"/>
          <w:sz w:val="24"/>
          <w:szCs w:val="24"/>
        </w:rPr>
      </w:pPr>
    </w:p>
    <w:p w:rsidR="00372BE0" w:rsidRPr="00CC0317" w:rsidRDefault="00372BE0" w:rsidP="00372BE0">
      <w:pPr>
        <w:jc w:val="center"/>
        <w:rPr>
          <w:rFonts w:ascii="Times New Roman" w:hAnsi="Times New Roman" w:cs="Times New Roman"/>
          <w:i/>
          <w:sz w:val="32"/>
          <w:szCs w:val="32"/>
          <w:u w:val="single"/>
        </w:rPr>
      </w:pPr>
      <w:r w:rsidRPr="00CC0317">
        <w:rPr>
          <w:rFonts w:ascii="Times New Roman" w:hAnsi="Times New Roman" w:cs="Times New Roman"/>
          <w:i/>
          <w:sz w:val="32"/>
          <w:szCs w:val="32"/>
          <w:u w:val="single"/>
        </w:rPr>
        <w:lastRenderedPageBreak/>
        <w:t>Appendix</w:t>
      </w:r>
    </w:p>
    <w:p w:rsidR="00372BE0" w:rsidRDefault="00372BE0" w:rsidP="00372BE0"/>
    <w:tbl>
      <w:tblPr>
        <w:tblStyle w:val="LightGrid"/>
        <w:tblW w:w="5461" w:type="dxa"/>
        <w:tblLook w:val="04A0" w:firstRow="1" w:lastRow="0" w:firstColumn="1" w:lastColumn="0" w:noHBand="0" w:noVBand="1"/>
      </w:tblPr>
      <w:tblGrid>
        <w:gridCol w:w="2549"/>
        <w:gridCol w:w="1490"/>
        <w:gridCol w:w="1422"/>
      </w:tblGrid>
      <w:tr w:rsidR="00372BE0" w:rsidRPr="002F4EB9" w:rsidTr="00401B88">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      Sector</w:t>
            </w:r>
          </w:p>
        </w:tc>
        <w:tc>
          <w:tcPr>
            <w:tcW w:w="1490" w:type="dxa"/>
            <w:noWrap/>
            <w:hideMark/>
          </w:tcPr>
          <w:p w:rsidR="00372BE0" w:rsidRPr="002F4EB9" w:rsidRDefault="00372BE0" w:rsidP="00401B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FDI USD</w:t>
            </w:r>
          </w:p>
        </w:tc>
        <w:tc>
          <w:tcPr>
            <w:tcW w:w="1422" w:type="dxa"/>
            <w:noWrap/>
            <w:hideMark/>
          </w:tcPr>
          <w:p w:rsidR="00372BE0" w:rsidRPr="002F4EB9" w:rsidRDefault="00372BE0" w:rsidP="00401B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 FDI %</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Communication</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113083.4</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36.7%</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 xml:space="preserve">Power and Gas </w:t>
            </w:r>
          </w:p>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Supply</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7312.6</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2.7%</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Mining Industry</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30272.6</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16.16%</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Agriculture and Hunting</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7171</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2.64%</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Air Transport Activities</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4869.4</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1.8%</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Food and Beverage </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29369.4</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10.83%</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Real Estate Deals</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45981.2</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16.96%</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Hotel Services</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1475.2</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0.54%</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Construction, buildings</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2547.4</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0.94%</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Land transport</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10801</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3.98%</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Research</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1333</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0.49%</w:t>
            </w:r>
          </w:p>
        </w:tc>
      </w:tr>
      <w:tr w:rsidR="00372BE0" w:rsidRPr="002F4EB9" w:rsidTr="00401B8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Other</w:t>
            </w:r>
          </w:p>
        </w:tc>
        <w:tc>
          <w:tcPr>
            <w:tcW w:w="1490"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16944.2</w:t>
            </w:r>
          </w:p>
        </w:tc>
        <w:tc>
          <w:tcPr>
            <w:tcW w:w="1422" w:type="dxa"/>
            <w:noWrap/>
            <w:hideMark/>
          </w:tcPr>
          <w:p w:rsidR="00372BE0" w:rsidRPr="002F4EB9" w:rsidRDefault="00372BE0" w:rsidP="00401B88">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6.25%</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49" w:type="dxa"/>
            <w:noWrap/>
            <w:hideMark/>
          </w:tcPr>
          <w:p w:rsidR="00372BE0" w:rsidRPr="002F4EB9" w:rsidRDefault="00372BE0" w:rsidP="00401B88">
            <w:pPr>
              <w:rPr>
                <w:rFonts w:ascii="Times New Roman" w:eastAsia="Times New Roman" w:hAnsi="Times New Roman" w:cs="Times New Roman"/>
                <w:b w:val="0"/>
                <w:color w:val="000000"/>
                <w:sz w:val="24"/>
                <w:szCs w:val="24"/>
              </w:rPr>
            </w:pPr>
            <w:r w:rsidRPr="002F4EB9">
              <w:rPr>
                <w:rFonts w:ascii="Times New Roman" w:eastAsia="Times New Roman" w:hAnsi="Times New Roman" w:cs="Times New Roman"/>
                <w:b w:val="0"/>
                <w:color w:val="000000"/>
                <w:sz w:val="24"/>
                <w:szCs w:val="24"/>
              </w:rPr>
              <w:t>TOTAL</w:t>
            </w:r>
          </w:p>
        </w:tc>
        <w:tc>
          <w:tcPr>
            <w:tcW w:w="1490"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271160.4</w:t>
            </w:r>
          </w:p>
        </w:tc>
        <w:tc>
          <w:tcPr>
            <w:tcW w:w="1422" w:type="dxa"/>
            <w:noWrap/>
            <w:hideMark/>
          </w:tcPr>
          <w:p w:rsidR="00372BE0" w:rsidRPr="002F4EB9" w:rsidRDefault="00372BE0" w:rsidP="00401B8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100%</w:t>
            </w:r>
          </w:p>
        </w:tc>
      </w:tr>
    </w:tbl>
    <w:p w:rsidR="00372BE0" w:rsidRDefault="00372BE0" w:rsidP="00372BE0">
      <w:pPr>
        <w:spacing w:after="0" w:line="240" w:lineRule="auto"/>
        <w:ind w:firstLine="720"/>
        <w:jc w:val="right"/>
        <w:rPr>
          <w:rFonts w:ascii="Times New Roman" w:hAnsi="Times New Roman" w:cs="Times New Roman"/>
          <w:i/>
          <w:iCs/>
          <w:color w:val="000000"/>
          <w:sz w:val="24"/>
          <w:szCs w:val="24"/>
        </w:rPr>
      </w:pPr>
    </w:p>
    <w:p w:rsidR="00372BE0" w:rsidRPr="002F4EB9" w:rsidRDefault="00372BE0" w:rsidP="00372BE0">
      <w:pPr>
        <w:spacing w:after="0" w:line="240" w:lineRule="auto"/>
        <w:ind w:firstLine="720"/>
        <w:jc w:val="right"/>
        <w:rPr>
          <w:rFonts w:ascii="Times New Roman" w:hAnsi="Times New Roman" w:cs="Times New Roman"/>
          <w:i/>
          <w:iCs/>
          <w:color w:val="000000"/>
          <w:sz w:val="24"/>
          <w:szCs w:val="24"/>
        </w:rPr>
      </w:pPr>
      <w:r>
        <w:rPr>
          <w:rFonts w:ascii="Times New Roman" w:hAnsi="Times New Roman" w:cs="Times New Roman"/>
          <w:i/>
          <w:iCs/>
          <w:color w:val="000000"/>
          <w:sz w:val="24"/>
          <w:szCs w:val="24"/>
        </w:rPr>
        <w:t>Table 1: FDI into branches of Industry Sector</w:t>
      </w:r>
    </w:p>
    <w:p w:rsidR="00372BE0" w:rsidRPr="002F4EB9" w:rsidRDefault="00372BE0" w:rsidP="00372BE0">
      <w:pPr>
        <w:spacing w:after="0" w:line="240" w:lineRule="auto"/>
        <w:ind w:left="720" w:hanging="360"/>
        <w:jc w:val="right"/>
        <w:rPr>
          <w:rFonts w:ascii="Times New Roman" w:hAnsi="Times New Roman" w:cs="Times New Roman"/>
          <w:i/>
          <w:color w:val="000000"/>
          <w:sz w:val="24"/>
          <w:szCs w:val="24"/>
        </w:rPr>
      </w:pPr>
      <w:r w:rsidRPr="002F4EB9">
        <w:rPr>
          <w:rFonts w:ascii="Times New Roman" w:hAnsi="Times New Roman" w:cs="Times New Roman"/>
          <w:i/>
          <w:color w:val="000000"/>
          <w:sz w:val="24"/>
          <w:szCs w:val="24"/>
        </w:rPr>
        <w:t>Source RA National Statistics Service, 2013</w:t>
      </w:r>
    </w:p>
    <w:p w:rsidR="00372BE0" w:rsidRPr="002F4EB9" w:rsidRDefault="00372BE0" w:rsidP="00372BE0">
      <w:pPr>
        <w:spacing w:after="0" w:line="240" w:lineRule="auto"/>
        <w:rPr>
          <w:rFonts w:ascii="Times New Roman" w:hAnsi="Times New Roman" w:cs="Times New Roman"/>
          <w:i/>
          <w:color w:val="000000"/>
          <w:sz w:val="24"/>
          <w:szCs w:val="24"/>
        </w:rPr>
      </w:pPr>
    </w:p>
    <w:p w:rsidR="00372BE0" w:rsidRPr="002F4EB9" w:rsidRDefault="00372BE0" w:rsidP="00372BE0">
      <w:pPr>
        <w:spacing w:after="0" w:line="240" w:lineRule="auto"/>
        <w:rPr>
          <w:rFonts w:ascii="Times New Roman" w:hAnsi="Times New Roman" w:cs="Times New Roman"/>
          <w:sz w:val="24"/>
          <w:szCs w:val="24"/>
        </w:rPr>
      </w:pPr>
    </w:p>
    <w:p w:rsidR="00372BE0" w:rsidRPr="002F4EB9" w:rsidRDefault="00372BE0" w:rsidP="00372BE0">
      <w:pPr>
        <w:spacing w:after="0" w:line="240" w:lineRule="auto"/>
        <w:jc w:val="center"/>
        <w:rPr>
          <w:rFonts w:ascii="Times New Roman" w:hAnsi="Times New Roman" w:cs="Times New Roman"/>
          <w:sz w:val="24"/>
          <w:szCs w:val="24"/>
        </w:rPr>
      </w:pPr>
      <w:r w:rsidRPr="002F4EB9">
        <w:rPr>
          <w:rFonts w:ascii="Times New Roman" w:hAnsi="Times New Roman" w:cs="Times New Roman"/>
          <w:noProof/>
          <w:sz w:val="24"/>
          <w:szCs w:val="24"/>
        </w:rPr>
        <w:drawing>
          <wp:inline distT="0" distB="0" distL="0" distR="0" wp14:anchorId="03B865B9" wp14:editId="54231E6F">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72BE0" w:rsidRPr="002F4EB9" w:rsidRDefault="00372BE0" w:rsidP="00372BE0">
      <w:pPr>
        <w:spacing w:after="0" w:line="240" w:lineRule="auto"/>
        <w:jc w:val="right"/>
        <w:rPr>
          <w:rFonts w:ascii="Times New Roman" w:hAnsi="Times New Roman" w:cs="Times New Roman"/>
          <w:i/>
          <w:sz w:val="24"/>
          <w:szCs w:val="24"/>
        </w:rPr>
      </w:pPr>
    </w:p>
    <w:p w:rsidR="00372BE0" w:rsidRPr="002F4EB9" w:rsidRDefault="00372BE0" w:rsidP="00372BE0">
      <w:pPr>
        <w:spacing w:after="0" w:line="240" w:lineRule="auto"/>
        <w:jc w:val="right"/>
        <w:rPr>
          <w:rFonts w:ascii="Times New Roman" w:hAnsi="Times New Roman" w:cs="Times New Roman"/>
          <w:i/>
          <w:sz w:val="24"/>
          <w:szCs w:val="24"/>
        </w:rPr>
      </w:pPr>
      <w:r w:rsidRPr="002F4EB9">
        <w:rPr>
          <w:rFonts w:ascii="Times New Roman" w:hAnsi="Times New Roman" w:cs="Times New Roman"/>
          <w:i/>
          <w:sz w:val="24"/>
          <w:szCs w:val="24"/>
        </w:rPr>
        <w:t>Figure 1</w:t>
      </w:r>
      <w:r>
        <w:rPr>
          <w:rFonts w:ascii="Times New Roman" w:hAnsi="Times New Roman" w:cs="Times New Roman"/>
          <w:i/>
          <w:sz w:val="24"/>
          <w:szCs w:val="24"/>
        </w:rPr>
        <w:t>: Monthly Copper Prices</w:t>
      </w:r>
    </w:p>
    <w:p w:rsidR="00372BE0" w:rsidRPr="002F4EB9" w:rsidRDefault="00372BE0" w:rsidP="00372BE0">
      <w:pPr>
        <w:spacing w:after="0" w:line="240" w:lineRule="auto"/>
        <w:jc w:val="right"/>
        <w:rPr>
          <w:rFonts w:ascii="Times New Roman" w:hAnsi="Times New Roman" w:cs="Times New Roman"/>
          <w:i/>
          <w:sz w:val="24"/>
          <w:szCs w:val="24"/>
        </w:rPr>
      </w:pPr>
      <w:r w:rsidRPr="002F4EB9">
        <w:rPr>
          <w:rFonts w:ascii="Times New Roman" w:hAnsi="Times New Roman" w:cs="Times New Roman"/>
          <w:i/>
          <w:sz w:val="24"/>
          <w:szCs w:val="24"/>
        </w:rPr>
        <w:t>Source Nasdaq Statistics</w:t>
      </w:r>
    </w:p>
    <w:p w:rsidR="00372BE0" w:rsidRPr="002F4EB9" w:rsidRDefault="00372BE0" w:rsidP="00372BE0">
      <w:pPr>
        <w:spacing w:after="0" w:line="240" w:lineRule="auto"/>
        <w:rPr>
          <w:rFonts w:ascii="Times New Roman" w:hAnsi="Times New Roman" w:cs="Times New Roman"/>
          <w:sz w:val="24"/>
          <w:szCs w:val="24"/>
        </w:rPr>
      </w:pPr>
      <w:r w:rsidRPr="002F4EB9">
        <w:rPr>
          <w:rFonts w:ascii="Times New Roman" w:hAnsi="Times New Roman" w:cs="Times New Roman"/>
          <w:noProof/>
          <w:sz w:val="24"/>
          <w:szCs w:val="24"/>
        </w:rPr>
        <w:lastRenderedPageBreak/>
        <w:drawing>
          <wp:inline distT="0" distB="0" distL="0" distR="0" wp14:anchorId="62536153" wp14:editId="33C98E69">
            <wp:extent cx="5571460" cy="3891516"/>
            <wp:effectExtent l="0" t="0" r="10795"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2F4EB9">
        <w:rPr>
          <w:rFonts w:ascii="Times New Roman" w:hAnsi="Times New Roman" w:cs="Times New Roman"/>
          <w:sz w:val="24"/>
          <w:szCs w:val="24"/>
        </w:rPr>
        <w:t xml:space="preserve"> </w:t>
      </w:r>
    </w:p>
    <w:p w:rsidR="00372BE0" w:rsidRPr="002F4EB9" w:rsidRDefault="00372BE0" w:rsidP="00372BE0">
      <w:pPr>
        <w:spacing w:after="0" w:line="240" w:lineRule="auto"/>
        <w:jc w:val="right"/>
        <w:rPr>
          <w:rFonts w:ascii="Times New Roman" w:hAnsi="Times New Roman" w:cs="Times New Roman"/>
          <w:i/>
          <w:sz w:val="24"/>
          <w:szCs w:val="24"/>
        </w:rPr>
      </w:pPr>
      <w:r w:rsidRPr="002F4EB9">
        <w:rPr>
          <w:rFonts w:ascii="Times New Roman" w:hAnsi="Times New Roman" w:cs="Times New Roman"/>
          <w:i/>
          <w:sz w:val="24"/>
          <w:szCs w:val="24"/>
        </w:rPr>
        <w:t>Figure 2</w:t>
      </w:r>
      <w:r>
        <w:rPr>
          <w:rFonts w:ascii="Times New Roman" w:hAnsi="Times New Roman" w:cs="Times New Roman"/>
          <w:i/>
          <w:sz w:val="24"/>
          <w:szCs w:val="24"/>
        </w:rPr>
        <w:t>: Employment in Mining vs Total Economy</w:t>
      </w:r>
    </w:p>
    <w:p w:rsidR="00372BE0" w:rsidRPr="002F4EB9" w:rsidRDefault="00372BE0" w:rsidP="00372BE0">
      <w:pPr>
        <w:spacing w:after="0" w:line="240" w:lineRule="auto"/>
        <w:jc w:val="right"/>
        <w:rPr>
          <w:rFonts w:ascii="Times New Roman" w:hAnsi="Times New Roman" w:cs="Times New Roman"/>
          <w:i/>
          <w:sz w:val="24"/>
          <w:szCs w:val="24"/>
        </w:rPr>
      </w:pPr>
      <w:r w:rsidRPr="002F4EB9">
        <w:rPr>
          <w:rFonts w:ascii="Times New Roman" w:hAnsi="Times New Roman" w:cs="Times New Roman"/>
          <w:i/>
          <w:sz w:val="24"/>
          <w:szCs w:val="24"/>
        </w:rPr>
        <w:t xml:space="preserve">Source </w:t>
      </w:r>
      <w:r w:rsidRPr="002F4EB9">
        <w:rPr>
          <w:rFonts w:ascii="Times New Roman" w:hAnsi="Times New Roman" w:cs="Times New Roman"/>
          <w:i/>
          <w:color w:val="000000"/>
          <w:sz w:val="24"/>
          <w:szCs w:val="24"/>
        </w:rPr>
        <w:t>RA National Statistics Service 2011</w:t>
      </w:r>
    </w:p>
    <w:p w:rsidR="00372BE0" w:rsidRDefault="00372BE0" w:rsidP="00372BE0">
      <w:pPr>
        <w:spacing w:after="0" w:line="240" w:lineRule="auto"/>
        <w:rPr>
          <w:rFonts w:ascii="Times New Roman" w:hAnsi="Times New Roman" w:cs="Times New Roman"/>
          <w:sz w:val="24"/>
          <w:szCs w:val="24"/>
        </w:rPr>
      </w:pPr>
    </w:p>
    <w:p w:rsidR="00372BE0" w:rsidRDefault="00372BE0" w:rsidP="00372BE0">
      <w:pPr>
        <w:spacing w:after="0" w:line="240" w:lineRule="auto"/>
        <w:rPr>
          <w:rFonts w:ascii="Times New Roman" w:hAnsi="Times New Roman" w:cs="Times New Roman"/>
          <w:sz w:val="24"/>
          <w:szCs w:val="24"/>
        </w:rPr>
      </w:pPr>
    </w:p>
    <w:p w:rsidR="00372BE0" w:rsidRPr="002F4EB9" w:rsidRDefault="00372BE0" w:rsidP="00372BE0">
      <w:pPr>
        <w:spacing w:after="0" w:line="240" w:lineRule="auto"/>
        <w:rPr>
          <w:rFonts w:ascii="Times New Roman" w:hAnsi="Times New Roman" w:cs="Times New Roman"/>
          <w:sz w:val="24"/>
          <w:szCs w:val="24"/>
        </w:rPr>
      </w:pPr>
    </w:p>
    <w:p w:rsidR="00372BE0" w:rsidRPr="002F4EB9" w:rsidRDefault="00372BE0" w:rsidP="00372BE0">
      <w:pPr>
        <w:spacing w:after="0" w:line="240" w:lineRule="auto"/>
        <w:rPr>
          <w:rFonts w:ascii="Times New Roman" w:hAnsi="Times New Roman" w:cs="Times New Roman"/>
          <w:sz w:val="24"/>
          <w:szCs w:val="24"/>
        </w:rPr>
      </w:pPr>
    </w:p>
    <w:tbl>
      <w:tblPr>
        <w:tblStyle w:val="MediumList2"/>
        <w:tblpPr w:leftFromText="180" w:rightFromText="180" w:vertAnchor="text" w:horzAnchor="margin" w:tblpXSpec="center" w:tblpY="98"/>
        <w:tblW w:w="9664" w:type="dxa"/>
        <w:tblLayout w:type="fixed"/>
        <w:tblLook w:val="04A0" w:firstRow="1" w:lastRow="0" w:firstColumn="1" w:lastColumn="0" w:noHBand="0" w:noVBand="1"/>
      </w:tblPr>
      <w:tblGrid>
        <w:gridCol w:w="1638"/>
        <w:gridCol w:w="1134"/>
        <w:gridCol w:w="785"/>
        <w:gridCol w:w="787"/>
        <w:gridCol w:w="919"/>
        <w:gridCol w:w="808"/>
        <w:gridCol w:w="856"/>
        <w:gridCol w:w="856"/>
        <w:gridCol w:w="977"/>
        <w:gridCol w:w="904"/>
      </w:tblGrid>
      <w:tr w:rsidR="00372BE0" w:rsidRPr="002F4EB9" w:rsidTr="00401B88">
        <w:trPr>
          <w:cnfStyle w:val="100000000000" w:firstRow="1" w:lastRow="0" w:firstColumn="0" w:lastColumn="0" w:oddVBand="0" w:evenVBand="0" w:oddHBand="0" w:evenHBand="0" w:firstRowFirstColumn="0" w:firstRowLastColumn="0" w:lastRowFirstColumn="0" w:lastRowLastColumn="0"/>
          <w:cantSplit/>
          <w:trHeight w:val="1150"/>
        </w:trPr>
        <w:tc>
          <w:tcPr>
            <w:cnfStyle w:val="001000000100" w:firstRow="0" w:lastRow="0" w:firstColumn="1" w:lastColumn="0" w:oddVBand="0" w:evenVBand="0" w:oddHBand="0" w:evenHBand="0" w:firstRowFirstColumn="1" w:firstRowLastColumn="0" w:lastRowFirstColumn="0" w:lastRowLastColumn="0"/>
            <w:tcW w:w="1638" w:type="dxa"/>
            <w:hideMark/>
          </w:tcPr>
          <w:p w:rsidR="00372BE0" w:rsidRPr="003B676A" w:rsidRDefault="00372BE0" w:rsidP="00401B88">
            <w:pPr>
              <w:jc w:val="both"/>
              <w:rPr>
                <w:rFonts w:ascii="Times New Roman" w:eastAsia="Times New Roman" w:hAnsi="Times New Roman" w:cs="Times New Roman"/>
                <w:color w:val="000000"/>
              </w:rPr>
            </w:pPr>
            <w:r w:rsidRPr="003B676A">
              <w:rPr>
                <w:rFonts w:ascii="Times New Roman" w:eastAsia="Times New Roman" w:hAnsi="Times New Roman" w:cs="Times New Roman"/>
                <w:color w:val="000000"/>
              </w:rPr>
              <w:t> Salary by Industry</w:t>
            </w:r>
          </w:p>
        </w:tc>
        <w:tc>
          <w:tcPr>
            <w:tcW w:w="1134" w:type="dxa"/>
            <w:hideMark/>
          </w:tcPr>
          <w:p w:rsidR="00372BE0" w:rsidRPr="003B676A" w:rsidRDefault="00372BE0" w:rsidP="00401B88">
            <w:pPr>
              <w:tabs>
                <w:tab w:val="left" w:pos="331"/>
              </w:tabs>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&lt;30000 AMD</w:t>
            </w:r>
          </w:p>
        </w:tc>
        <w:tc>
          <w:tcPr>
            <w:tcW w:w="785"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30000-60000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787"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61000-90000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919"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91000-120000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808"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121000-180000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856"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181000-240000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856"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241000-300000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977"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301000-450000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c>
          <w:tcPr>
            <w:tcW w:w="904" w:type="dxa"/>
            <w:hideMark/>
          </w:tcPr>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&gt;900000</w:t>
            </w:r>
          </w:p>
          <w:p w:rsidR="00372BE0" w:rsidRPr="003B676A" w:rsidRDefault="00372BE0" w:rsidP="00401B8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676A">
              <w:rPr>
                <w:rFonts w:ascii="Times New Roman" w:eastAsia="Times New Roman" w:hAnsi="Times New Roman" w:cs="Times New Roman"/>
                <w:color w:val="000000"/>
              </w:rPr>
              <w:t>AMD</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cantSplit/>
          <w:trHeight w:val="626"/>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 xml:space="preserve">Agriculture </w:t>
            </w:r>
          </w:p>
        </w:tc>
        <w:tc>
          <w:tcPr>
            <w:tcW w:w="113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0.3</w:t>
            </w:r>
          </w:p>
        </w:tc>
        <w:tc>
          <w:tcPr>
            <w:tcW w:w="785"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53.5</w:t>
            </w:r>
          </w:p>
        </w:tc>
        <w:tc>
          <w:tcPr>
            <w:tcW w:w="78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22.6</w:t>
            </w:r>
          </w:p>
        </w:tc>
        <w:tc>
          <w:tcPr>
            <w:tcW w:w="919"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10.3</w:t>
            </w:r>
          </w:p>
        </w:tc>
        <w:tc>
          <w:tcPr>
            <w:tcW w:w="808"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10.5</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1.6</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0.3</w:t>
            </w:r>
          </w:p>
        </w:tc>
        <w:tc>
          <w:tcPr>
            <w:tcW w:w="97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0.6</w:t>
            </w:r>
          </w:p>
        </w:tc>
        <w:tc>
          <w:tcPr>
            <w:tcW w:w="90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w:t>
            </w:r>
          </w:p>
        </w:tc>
      </w:tr>
      <w:tr w:rsidR="00372BE0" w:rsidRPr="002F4EB9" w:rsidTr="00401B88">
        <w:trPr>
          <w:cantSplit/>
          <w:trHeight w:val="533"/>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 xml:space="preserve">Mining </w:t>
            </w:r>
          </w:p>
        </w:tc>
        <w:tc>
          <w:tcPr>
            <w:tcW w:w="113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w:t>
            </w:r>
          </w:p>
        </w:tc>
        <w:tc>
          <w:tcPr>
            <w:tcW w:w="785"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3.9</w:t>
            </w:r>
          </w:p>
        </w:tc>
        <w:tc>
          <w:tcPr>
            <w:tcW w:w="78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10.6</w:t>
            </w:r>
          </w:p>
        </w:tc>
        <w:tc>
          <w:tcPr>
            <w:tcW w:w="919"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12.2</w:t>
            </w:r>
          </w:p>
        </w:tc>
        <w:tc>
          <w:tcPr>
            <w:tcW w:w="808"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32.5</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17.2</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9.6</w:t>
            </w:r>
          </w:p>
        </w:tc>
        <w:tc>
          <w:tcPr>
            <w:tcW w:w="97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6.9</w:t>
            </w:r>
          </w:p>
        </w:tc>
        <w:tc>
          <w:tcPr>
            <w:tcW w:w="90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1.5</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cantSplit/>
          <w:trHeight w:val="542"/>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Manufacture</w:t>
            </w:r>
          </w:p>
        </w:tc>
        <w:tc>
          <w:tcPr>
            <w:tcW w:w="113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0.9</w:t>
            </w:r>
          </w:p>
        </w:tc>
        <w:tc>
          <w:tcPr>
            <w:tcW w:w="785"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34.2</w:t>
            </w:r>
          </w:p>
        </w:tc>
        <w:tc>
          <w:tcPr>
            <w:tcW w:w="78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24.7</w:t>
            </w:r>
          </w:p>
        </w:tc>
        <w:tc>
          <w:tcPr>
            <w:tcW w:w="919"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14.7</w:t>
            </w:r>
          </w:p>
        </w:tc>
        <w:tc>
          <w:tcPr>
            <w:tcW w:w="808"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13.6</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4.9</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2.7</w:t>
            </w:r>
          </w:p>
        </w:tc>
        <w:tc>
          <w:tcPr>
            <w:tcW w:w="97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2.6</w:t>
            </w:r>
          </w:p>
        </w:tc>
        <w:tc>
          <w:tcPr>
            <w:tcW w:w="90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0.4</w:t>
            </w:r>
          </w:p>
        </w:tc>
      </w:tr>
      <w:tr w:rsidR="00372BE0" w:rsidRPr="002F4EB9" w:rsidTr="00401B88">
        <w:trPr>
          <w:cantSplit/>
          <w:trHeight w:val="542"/>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Construct.</w:t>
            </w:r>
          </w:p>
        </w:tc>
        <w:tc>
          <w:tcPr>
            <w:tcW w:w="113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0.5</w:t>
            </w:r>
          </w:p>
        </w:tc>
        <w:tc>
          <w:tcPr>
            <w:tcW w:w="785"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11.5</w:t>
            </w:r>
          </w:p>
        </w:tc>
        <w:tc>
          <w:tcPr>
            <w:tcW w:w="78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18.9</w:t>
            </w:r>
          </w:p>
        </w:tc>
        <w:tc>
          <w:tcPr>
            <w:tcW w:w="919"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23.2</w:t>
            </w:r>
          </w:p>
        </w:tc>
        <w:tc>
          <w:tcPr>
            <w:tcW w:w="808"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18.7</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15.8</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3.9</w:t>
            </w:r>
          </w:p>
        </w:tc>
        <w:tc>
          <w:tcPr>
            <w:tcW w:w="97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5.3</w:t>
            </w:r>
          </w:p>
        </w:tc>
        <w:tc>
          <w:tcPr>
            <w:tcW w:w="90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0.3</w:t>
            </w:r>
          </w:p>
        </w:tc>
      </w:tr>
      <w:tr w:rsidR="00372BE0" w:rsidRPr="002F4EB9" w:rsidTr="00401B88">
        <w:trPr>
          <w:cnfStyle w:val="000000100000" w:firstRow="0" w:lastRow="0" w:firstColumn="0" w:lastColumn="0" w:oddVBand="0" w:evenVBand="0" w:oddHBand="1" w:evenHBand="0" w:firstRowFirstColumn="0" w:firstRowLastColumn="0" w:lastRowFirstColumn="0" w:lastRowLastColumn="0"/>
          <w:cantSplit/>
          <w:trHeight w:val="713"/>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Wholesale/</w:t>
            </w:r>
          </w:p>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retail</w:t>
            </w:r>
          </w:p>
        </w:tc>
        <w:tc>
          <w:tcPr>
            <w:tcW w:w="113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2.5</w:t>
            </w:r>
          </w:p>
        </w:tc>
        <w:tc>
          <w:tcPr>
            <w:tcW w:w="785"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38.8</w:t>
            </w:r>
          </w:p>
        </w:tc>
        <w:tc>
          <w:tcPr>
            <w:tcW w:w="78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33.3</w:t>
            </w:r>
          </w:p>
        </w:tc>
        <w:tc>
          <w:tcPr>
            <w:tcW w:w="919"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11.9</w:t>
            </w:r>
          </w:p>
        </w:tc>
        <w:tc>
          <w:tcPr>
            <w:tcW w:w="808"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6.8</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2.4</w:t>
            </w:r>
          </w:p>
        </w:tc>
        <w:tc>
          <w:tcPr>
            <w:tcW w:w="856"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1.7</w:t>
            </w:r>
          </w:p>
        </w:tc>
        <w:tc>
          <w:tcPr>
            <w:tcW w:w="977"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1.6</w:t>
            </w:r>
          </w:p>
        </w:tc>
        <w:tc>
          <w:tcPr>
            <w:tcW w:w="904" w:type="dxa"/>
            <w:hideMark/>
          </w:tcPr>
          <w:p w:rsidR="00372BE0" w:rsidRPr="002F4EB9" w:rsidRDefault="00372BE0" w:rsidP="00401B8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0.2</w:t>
            </w:r>
          </w:p>
        </w:tc>
      </w:tr>
      <w:tr w:rsidR="00372BE0" w:rsidRPr="002F4EB9" w:rsidTr="00401B88">
        <w:trPr>
          <w:cantSplit/>
          <w:trHeight w:val="551"/>
        </w:trPr>
        <w:tc>
          <w:tcPr>
            <w:cnfStyle w:val="001000000000" w:firstRow="0" w:lastRow="0" w:firstColumn="1" w:lastColumn="0" w:oddVBand="0" w:evenVBand="0" w:oddHBand="0" w:evenHBand="0" w:firstRowFirstColumn="0" w:firstRowLastColumn="0" w:lastRowFirstColumn="0" w:lastRowLastColumn="0"/>
            <w:tcW w:w="1638" w:type="dxa"/>
            <w:hideMark/>
          </w:tcPr>
          <w:p w:rsidR="00372BE0" w:rsidRPr="002F4EB9" w:rsidRDefault="00372BE0" w:rsidP="00401B88">
            <w:pPr>
              <w:jc w:val="both"/>
              <w:rPr>
                <w:rFonts w:ascii="Times New Roman" w:eastAsia="Times New Roman" w:hAnsi="Times New Roman" w:cs="Times New Roman"/>
                <w:b/>
                <w:color w:val="000000"/>
                <w:sz w:val="24"/>
                <w:szCs w:val="24"/>
              </w:rPr>
            </w:pPr>
            <w:r w:rsidRPr="002F4EB9">
              <w:rPr>
                <w:rFonts w:ascii="Times New Roman" w:eastAsia="Times New Roman" w:hAnsi="Times New Roman" w:cs="Times New Roman"/>
                <w:b/>
                <w:color w:val="000000"/>
                <w:sz w:val="24"/>
                <w:szCs w:val="24"/>
              </w:rPr>
              <w:t>Transport</w:t>
            </w:r>
          </w:p>
        </w:tc>
        <w:tc>
          <w:tcPr>
            <w:tcW w:w="113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0.4</w:t>
            </w:r>
          </w:p>
        </w:tc>
        <w:tc>
          <w:tcPr>
            <w:tcW w:w="785"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49.1</w:t>
            </w:r>
          </w:p>
        </w:tc>
        <w:tc>
          <w:tcPr>
            <w:tcW w:w="78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14.1</w:t>
            </w:r>
          </w:p>
        </w:tc>
        <w:tc>
          <w:tcPr>
            <w:tcW w:w="919"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15</w:t>
            </w:r>
          </w:p>
        </w:tc>
        <w:tc>
          <w:tcPr>
            <w:tcW w:w="808"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8.1</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8.5</w:t>
            </w:r>
          </w:p>
        </w:tc>
        <w:tc>
          <w:tcPr>
            <w:tcW w:w="856"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2.1</w:t>
            </w:r>
          </w:p>
        </w:tc>
        <w:tc>
          <w:tcPr>
            <w:tcW w:w="977"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1.1</w:t>
            </w:r>
          </w:p>
        </w:tc>
        <w:tc>
          <w:tcPr>
            <w:tcW w:w="904" w:type="dxa"/>
            <w:hideMark/>
          </w:tcPr>
          <w:p w:rsidR="00372BE0" w:rsidRPr="002F4EB9" w:rsidRDefault="00372BE0" w:rsidP="00401B8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2F4EB9">
              <w:rPr>
                <w:rFonts w:ascii="Times New Roman" w:eastAsia="Times New Roman" w:hAnsi="Times New Roman" w:cs="Times New Roman"/>
                <w:color w:val="000000"/>
                <w:sz w:val="24"/>
                <w:szCs w:val="24"/>
              </w:rPr>
              <w:t>0.5</w:t>
            </w:r>
          </w:p>
        </w:tc>
      </w:tr>
    </w:tbl>
    <w:p w:rsidR="00372BE0" w:rsidRDefault="00372BE0" w:rsidP="00372BE0">
      <w:pPr>
        <w:tabs>
          <w:tab w:val="left" w:pos="360"/>
        </w:tabs>
        <w:spacing w:after="0" w:line="240" w:lineRule="auto"/>
        <w:ind w:firstLine="547"/>
        <w:jc w:val="right"/>
        <w:rPr>
          <w:rFonts w:ascii="Times New Roman" w:hAnsi="Times New Roman" w:cs="Times New Roman"/>
          <w:i/>
          <w:color w:val="000000"/>
          <w:sz w:val="24"/>
          <w:szCs w:val="24"/>
        </w:rPr>
      </w:pPr>
    </w:p>
    <w:p w:rsidR="00372BE0" w:rsidRPr="002F4EB9" w:rsidRDefault="00372BE0" w:rsidP="00372BE0">
      <w:pPr>
        <w:tabs>
          <w:tab w:val="left" w:pos="360"/>
        </w:tabs>
        <w:spacing w:after="0" w:line="240" w:lineRule="auto"/>
        <w:ind w:firstLine="547"/>
        <w:jc w:val="right"/>
        <w:rPr>
          <w:rFonts w:ascii="Times New Roman" w:hAnsi="Times New Roman" w:cs="Times New Roman"/>
          <w:i/>
          <w:color w:val="000000"/>
          <w:sz w:val="24"/>
          <w:szCs w:val="24"/>
        </w:rPr>
      </w:pPr>
      <w:r w:rsidRPr="002F4EB9">
        <w:rPr>
          <w:rFonts w:ascii="Times New Roman" w:hAnsi="Times New Roman" w:cs="Times New Roman"/>
          <w:i/>
          <w:color w:val="000000"/>
          <w:sz w:val="24"/>
          <w:szCs w:val="24"/>
        </w:rPr>
        <w:t>Table 2</w:t>
      </w:r>
      <w:r>
        <w:rPr>
          <w:rFonts w:ascii="Times New Roman" w:hAnsi="Times New Roman" w:cs="Times New Roman"/>
          <w:i/>
          <w:color w:val="000000"/>
          <w:sz w:val="24"/>
          <w:szCs w:val="24"/>
        </w:rPr>
        <w:t>: Salaries by Industry</w:t>
      </w:r>
    </w:p>
    <w:p w:rsidR="00372BE0" w:rsidRDefault="00372BE0" w:rsidP="00372BE0">
      <w:pPr>
        <w:spacing w:after="0" w:line="240" w:lineRule="auto"/>
        <w:ind w:firstLine="547"/>
        <w:jc w:val="right"/>
        <w:rPr>
          <w:rFonts w:ascii="Times New Roman" w:hAnsi="Times New Roman" w:cs="Times New Roman"/>
          <w:i/>
          <w:color w:val="000000"/>
          <w:sz w:val="24"/>
          <w:szCs w:val="24"/>
        </w:rPr>
      </w:pPr>
      <w:r w:rsidRPr="002F4EB9">
        <w:rPr>
          <w:rFonts w:ascii="Times New Roman" w:hAnsi="Times New Roman" w:cs="Times New Roman"/>
          <w:i/>
          <w:color w:val="000000"/>
          <w:sz w:val="24"/>
          <w:szCs w:val="24"/>
        </w:rPr>
        <w:t>Source RA National Statistics Service, 2013</w:t>
      </w:r>
    </w:p>
    <w:p w:rsidR="00372BE0" w:rsidRDefault="00372BE0" w:rsidP="00372BE0">
      <w:pPr>
        <w:spacing w:after="0" w:line="240" w:lineRule="auto"/>
        <w:ind w:firstLine="547"/>
        <w:jc w:val="right"/>
        <w:rPr>
          <w:rFonts w:ascii="Times New Roman" w:hAnsi="Times New Roman" w:cs="Times New Roman"/>
          <w:i/>
          <w:color w:val="000000"/>
          <w:sz w:val="24"/>
          <w:szCs w:val="24"/>
        </w:rPr>
      </w:pPr>
    </w:p>
    <w:p w:rsidR="00372BE0" w:rsidRPr="00E44CAD" w:rsidRDefault="00372BE0" w:rsidP="00372BE0">
      <w:pPr>
        <w:spacing w:after="0" w:line="240" w:lineRule="auto"/>
        <w:ind w:firstLine="547"/>
        <w:jc w:val="right"/>
        <w:rPr>
          <w:rFonts w:ascii="Times New Roman" w:hAnsi="Times New Roman" w:cs="Times New Roman"/>
          <w:i/>
          <w:color w:val="000000"/>
          <w:sz w:val="24"/>
          <w:szCs w:val="24"/>
        </w:rPr>
      </w:pPr>
    </w:p>
    <w:tbl>
      <w:tblPr>
        <w:tblStyle w:val="MediumList2"/>
        <w:tblW w:w="5595" w:type="dxa"/>
        <w:jc w:val="center"/>
        <w:tblLook w:val="04A0" w:firstRow="1" w:lastRow="0" w:firstColumn="1" w:lastColumn="0" w:noHBand="0" w:noVBand="1"/>
      </w:tblPr>
      <w:tblGrid>
        <w:gridCol w:w="2985"/>
        <w:gridCol w:w="1171"/>
        <w:gridCol w:w="1439"/>
      </w:tblGrid>
      <w:tr w:rsidR="00372BE0" w:rsidRPr="00EE5BA1" w:rsidTr="00401B8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rPr>
            </w:pPr>
          </w:p>
        </w:tc>
        <w:tc>
          <w:tcPr>
            <w:tcW w:w="2610" w:type="dxa"/>
            <w:gridSpan w:val="2"/>
            <w:hideMark/>
          </w:tcPr>
          <w:p w:rsidR="00372BE0" w:rsidRPr="00EE5BA1" w:rsidRDefault="00372BE0" w:rsidP="00401B8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rPr>
            </w:pPr>
            <w:r w:rsidRPr="00EE5BA1">
              <w:rPr>
                <w:rFonts w:ascii="Times New Roman" w:eastAsia="Times New Roman" w:hAnsi="Times New Roman" w:cs="Times New Roman"/>
                <w:b/>
                <w:color w:val="000000"/>
              </w:rPr>
              <w:t>Model 3</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Number of Observation</w:t>
            </w:r>
          </w:p>
        </w:tc>
        <w:tc>
          <w:tcPr>
            <w:tcW w:w="2610" w:type="dxa"/>
            <w:gridSpan w:val="2"/>
            <w:hideMark/>
          </w:tcPr>
          <w:p w:rsidR="00372BE0" w:rsidRPr="00EE5BA1" w:rsidRDefault="00372BE0" w:rsidP="00401B88">
            <w:pPr>
              <w:tabs>
                <w:tab w:val="left" w:pos="774"/>
                <w:tab w:val="left" w:pos="1192"/>
                <w:tab w:val="left" w:pos="1443"/>
              </w:tab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48</w:t>
            </w:r>
          </w:p>
        </w:tc>
      </w:tr>
      <w:tr w:rsidR="00372BE0" w:rsidRPr="00EE5BA1" w:rsidTr="00401B88">
        <w:trPr>
          <w:trHeight w:val="31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SBIC</w:t>
            </w:r>
          </w:p>
        </w:tc>
        <w:tc>
          <w:tcPr>
            <w:tcW w:w="2610" w:type="dxa"/>
            <w:gridSpan w:val="2"/>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19.6</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AIC</w:t>
            </w:r>
          </w:p>
        </w:tc>
        <w:tc>
          <w:tcPr>
            <w:tcW w:w="2610" w:type="dxa"/>
            <w:gridSpan w:val="2"/>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17.1</w:t>
            </w:r>
          </w:p>
        </w:tc>
      </w:tr>
      <w:tr w:rsidR="00372BE0" w:rsidRPr="00EE5BA1" w:rsidTr="00401B88">
        <w:trPr>
          <w:trHeight w:val="31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b/>
                <w:color w:val="000000"/>
                <w:sz w:val="24"/>
                <w:szCs w:val="24"/>
              </w:rPr>
            </w:pPr>
            <w:r w:rsidRPr="00EE5BA1">
              <w:rPr>
                <w:rFonts w:ascii="Times New Roman" w:eastAsia="Times New Roman" w:hAnsi="Times New Roman" w:cs="Times New Roman"/>
                <w:b/>
                <w:color w:val="000000"/>
                <w:sz w:val="24"/>
                <w:szCs w:val="24"/>
              </w:rPr>
              <w:t>Long Term Relationship</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EE5BA1">
              <w:rPr>
                <w:rFonts w:ascii="Times New Roman" w:eastAsia="Times New Roman" w:hAnsi="Times New Roman" w:cs="Times New Roman"/>
                <w:b/>
                <w:color w:val="000000"/>
                <w:sz w:val="24"/>
                <w:szCs w:val="24"/>
              </w:rPr>
              <w:t>CE 1</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24"/>
                <w:szCs w:val="24"/>
              </w:rPr>
            </w:pPr>
            <w:r w:rsidRPr="00EE5BA1">
              <w:rPr>
                <w:rFonts w:ascii="Times New Roman" w:eastAsia="Times New Roman" w:hAnsi="Times New Roman" w:cs="Times New Roman"/>
                <w:b/>
                <w:color w:val="000000"/>
                <w:sz w:val="24"/>
                <w:szCs w:val="24"/>
              </w:rPr>
              <w:t>CE 2</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Error Correction</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0.64</w:t>
            </w: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0.004</w:t>
            </w:r>
          </w:p>
        </w:tc>
      </w:tr>
      <w:tr w:rsidR="00372BE0" w:rsidRPr="00EE5BA1" w:rsidTr="00401B88">
        <w:trPr>
          <w:trHeight w:val="31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REER</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EE5BA1">
              <w:rPr>
                <w:rFonts w:ascii="Times New Roman" w:eastAsia="Times New Roman" w:hAnsi="Times New Roman" w:cs="Times New Roman"/>
                <w:b/>
                <w:bCs/>
                <w:color w:val="000000"/>
                <w:sz w:val="24"/>
                <w:szCs w:val="24"/>
              </w:rPr>
              <w:t>1</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Mining</w:t>
            </w:r>
            <w:r w:rsidRPr="00EE5BA1">
              <w:rPr>
                <w:rFonts w:ascii="Times New Roman" w:eastAsia="Times New Roman" w:hAnsi="Times New Roman" w:cs="Times New Roman"/>
                <w:bCs/>
                <w:color w:val="000000"/>
                <w:sz w:val="24"/>
                <w:szCs w:val="24"/>
              </w:rPr>
              <w:t xml:space="preserve"> share</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4.8***   (0.16)</w:t>
            </w: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2.28*** (0.04)</w:t>
            </w:r>
          </w:p>
        </w:tc>
      </w:tr>
      <w:tr w:rsidR="00372BE0" w:rsidRPr="00EE5BA1" w:rsidTr="00401B88">
        <w:trPr>
          <w:trHeight w:val="67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Remit.</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-0.50***     (0.024)</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0.01 (0.0006)</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NFA</w:t>
            </w:r>
            <w:r w:rsidRPr="00EE5BA1">
              <w:rPr>
                <w:rFonts w:ascii="Times New Roman" w:eastAsia="Times New Roman" w:hAnsi="Times New Roman" w:cs="Times New Roman"/>
                <w:bCs/>
                <w:color w:val="000000"/>
                <w:sz w:val="24"/>
                <w:szCs w:val="24"/>
              </w:rPr>
              <w:t xml:space="preserve"> share</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EE5BA1">
              <w:rPr>
                <w:rFonts w:ascii="Times New Roman" w:eastAsia="Times New Roman" w:hAnsi="Times New Roman" w:cs="Times New Roman"/>
                <w:b/>
                <w:bCs/>
                <w:color w:val="auto"/>
                <w:sz w:val="24"/>
                <w:szCs w:val="24"/>
              </w:rPr>
              <w:t>1</w:t>
            </w:r>
          </w:p>
        </w:tc>
      </w:tr>
      <w:tr w:rsidR="00372BE0" w:rsidRPr="00EE5BA1" w:rsidTr="00401B88">
        <w:trPr>
          <w:trHeight w:val="31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Constant</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35</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5.5</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5595" w:type="dxa"/>
            <w:gridSpan w:val="3"/>
            <w:hideMark/>
          </w:tcPr>
          <w:p w:rsidR="00372BE0" w:rsidRPr="00EE5BA1" w:rsidRDefault="00372BE0" w:rsidP="00401B88">
            <w:pPr>
              <w:rPr>
                <w:rFonts w:ascii="Times New Roman" w:eastAsia="Times New Roman" w:hAnsi="Times New Roman" w:cs="Times New Roman"/>
                <w:b/>
                <w:color w:val="000000"/>
                <w:sz w:val="24"/>
                <w:szCs w:val="24"/>
              </w:rPr>
            </w:pPr>
            <w:r w:rsidRPr="00EE5BA1">
              <w:rPr>
                <w:rFonts w:ascii="Times New Roman" w:eastAsia="Times New Roman" w:hAnsi="Times New Roman" w:cs="Times New Roman"/>
                <w:b/>
                <w:color w:val="000000"/>
                <w:sz w:val="24"/>
                <w:szCs w:val="24"/>
              </w:rPr>
              <w:t>Short Term Relationship</w:t>
            </w:r>
          </w:p>
        </w:tc>
      </w:tr>
      <w:tr w:rsidR="00372BE0" w:rsidRPr="00EE5BA1" w:rsidTr="00401B88">
        <w:trPr>
          <w:trHeight w:val="630"/>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∆REER</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0.49** (0.13)</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0.39*** (0.13)</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 xml:space="preserve">∆Mining </w:t>
            </w:r>
            <w:r w:rsidRPr="00EE5BA1">
              <w:rPr>
                <w:rFonts w:ascii="Times New Roman" w:eastAsia="Times New Roman" w:hAnsi="Times New Roman" w:cs="Times New Roman"/>
                <w:bCs/>
                <w:color w:val="000000"/>
                <w:sz w:val="24"/>
                <w:szCs w:val="24"/>
              </w:rPr>
              <w:t>share</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3.76*** (0.75)</w:t>
            </w: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372BE0" w:rsidRPr="00EE5BA1" w:rsidTr="00401B88">
        <w:trPr>
          <w:trHeight w:val="94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∆Mining</w:t>
            </w:r>
            <w:r w:rsidRPr="00EE5BA1">
              <w:rPr>
                <w:rFonts w:ascii="Times New Roman" w:eastAsia="Times New Roman" w:hAnsi="Times New Roman" w:cs="Times New Roman"/>
                <w:bCs/>
                <w:color w:val="000000"/>
                <w:sz w:val="24"/>
                <w:szCs w:val="24"/>
              </w:rPr>
              <w:t xml:space="preserve"> share</w:t>
            </w:r>
            <w:r w:rsidRPr="00EE5BA1">
              <w:rPr>
                <w:rFonts w:ascii="Times New Roman" w:eastAsia="Times New Roman" w:hAnsi="Times New Roman" w:cs="Times New Roman"/>
                <w:color w:val="000000"/>
                <w:sz w:val="24"/>
                <w:szCs w:val="24"/>
              </w:rPr>
              <w:t xml:space="preserve"> Lag(2)</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2.56*** (0.81)</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94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∆Remit. Lag(3)</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-0.04***   (0.02)</w:t>
            </w: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-0.00038   (0.0008)</w:t>
            </w:r>
          </w:p>
        </w:tc>
      </w:tr>
      <w:tr w:rsidR="00372BE0" w:rsidRPr="00EE5BA1" w:rsidTr="00401B88">
        <w:trPr>
          <w:trHeight w:val="945"/>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 xml:space="preserve">∆NFA </w:t>
            </w:r>
            <w:r w:rsidRPr="00EE5BA1">
              <w:rPr>
                <w:rFonts w:ascii="Times New Roman" w:eastAsia="Times New Roman" w:hAnsi="Times New Roman" w:cs="Times New Roman"/>
                <w:bCs/>
                <w:color w:val="000000"/>
                <w:sz w:val="24"/>
                <w:szCs w:val="24"/>
              </w:rPr>
              <w:t>share</w:t>
            </w:r>
          </w:p>
        </w:tc>
        <w:tc>
          <w:tcPr>
            <w:tcW w:w="1171"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-14.2*** (5.5)</w:t>
            </w:r>
          </w:p>
        </w:tc>
        <w:tc>
          <w:tcPr>
            <w:tcW w:w="1439" w:type="dxa"/>
            <w:hideMark/>
          </w:tcPr>
          <w:p w:rsidR="00372BE0" w:rsidRPr="00EE5BA1" w:rsidRDefault="00372BE0" w:rsidP="00401B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-0.8*** (.28)</w:t>
            </w:r>
          </w:p>
        </w:tc>
      </w:tr>
      <w:tr w:rsidR="00372BE0" w:rsidRPr="00EE5BA1" w:rsidTr="00401B8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985" w:type="dxa"/>
            <w:hideMark/>
          </w:tcPr>
          <w:p w:rsidR="00372BE0" w:rsidRPr="00EE5BA1" w:rsidRDefault="00372BE0" w:rsidP="00401B88">
            <w:pPr>
              <w:jc w:val="center"/>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Constant</w:t>
            </w:r>
          </w:p>
        </w:tc>
        <w:tc>
          <w:tcPr>
            <w:tcW w:w="1171"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5BA1">
              <w:rPr>
                <w:rFonts w:ascii="Times New Roman" w:eastAsia="Times New Roman" w:hAnsi="Times New Roman" w:cs="Times New Roman"/>
                <w:color w:val="000000"/>
                <w:sz w:val="24"/>
                <w:szCs w:val="24"/>
              </w:rPr>
              <w:t>-0.015</w:t>
            </w:r>
          </w:p>
        </w:tc>
        <w:tc>
          <w:tcPr>
            <w:tcW w:w="1439" w:type="dxa"/>
            <w:hideMark/>
          </w:tcPr>
          <w:p w:rsidR="00372BE0" w:rsidRPr="00EE5BA1" w:rsidRDefault="00372BE0" w:rsidP="00401B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bl>
    <w:p w:rsidR="00372BE0" w:rsidRPr="002F4EB9" w:rsidRDefault="00372BE0" w:rsidP="00372BE0">
      <w:pPr>
        <w:spacing w:after="0" w:line="240" w:lineRule="auto"/>
        <w:rPr>
          <w:rFonts w:ascii="Times New Roman" w:hAnsi="Times New Roman" w:cs="Times New Roman"/>
          <w:sz w:val="24"/>
          <w:szCs w:val="24"/>
        </w:rPr>
      </w:pPr>
    </w:p>
    <w:p w:rsidR="00372BE0" w:rsidRDefault="00372BE0" w:rsidP="00372BE0">
      <w:pPr>
        <w:spacing w:after="0" w:line="240" w:lineRule="auto"/>
        <w:jc w:val="right"/>
        <w:rPr>
          <w:rFonts w:ascii="Times New Roman" w:hAnsi="Times New Roman" w:cs="Times New Roman"/>
          <w:i/>
          <w:sz w:val="24"/>
          <w:szCs w:val="24"/>
        </w:rPr>
      </w:pPr>
      <w:r w:rsidRPr="00E63754">
        <w:rPr>
          <w:rFonts w:ascii="Times New Roman" w:hAnsi="Times New Roman" w:cs="Times New Roman"/>
          <w:i/>
          <w:sz w:val="24"/>
          <w:szCs w:val="24"/>
        </w:rPr>
        <w:t xml:space="preserve">Table 3. Empirical Analysis </w:t>
      </w:r>
      <w:r>
        <w:rPr>
          <w:rFonts w:ascii="Times New Roman" w:hAnsi="Times New Roman" w:cs="Times New Roman"/>
          <w:i/>
          <w:sz w:val="24"/>
          <w:szCs w:val="24"/>
        </w:rPr>
        <w:t>Part 1</w:t>
      </w:r>
    </w:p>
    <w:p w:rsidR="00372BE0" w:rsidRPr="00E13260" w:rsidRDefault="00372BE0" w:rsidP="00372BE0">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Cointegrated Relation</w:t>
      </w:r>
    </w:p>
    <w:p w:rsidR="00372BE0" w:rsidRDefault="00372BE0" w:rsidP="00372BE0">
      <w:pPr>
        <w:spacing w:after="0" w:line="360" w:lineRule="auto"/>
        <w:rPr>
          <w:rFonts w:ascii="Times New Roman" w:hAnsi="Times New Roman" w:cs="Times New Roman"/>
          <w:sz w:val="24"/>
          <w:szCs w:val="24"/>
        </w:rPr>
      </w:pPr>
    </w:p>
    <w:p w:rsidR="00372BE0" w:rsidRDefault="00372BE0" w:rsidP="00372BE0">
      <w:pPr>
        <w:spacing w:after="0" w:line="360" w:lineRule="auto"/>
        <w:rPr>
          <w:rFonts w:ascii="Times New Roman" w:hAnsi="Times New Roman" w:cs="Times New Roman"/>
          <w:sz w:val="24"/>
          <w:szCs w:val="24"/>
        </w:rPr>
      </w:pPr>
    </w:p>
    <w:p w:rsidR="00372BE0" w:rsidRDefault="00372BE0" w:rsidP="00372BE0">
      <w:pPr>
        <w:rPr>
          <w:rFonts w:ascii="Times New Roman" w:hAnsi="Times New Roman" w:cs="Times New Roman"/>
          <w:sz w:val="24"/>
          <w:szCs w:val="24"/>
        </w:rPr>
      </w:pPr>
      <w:r>
        <w:rPr>
          <w:rFonts w:ascii="Times New Roman" w:hAnsi="Times New Roman" w:cs="Times New Roman"/>
          <w:sz w:val="24"/>
          <w:szCs w:val="24"/>
        </w:rPr>
        <w:br w:type="page"/>
      </w:r>
    </w:p>
    <w:p w:rsidR="00372BE0" w:rsidRDefault="00372BE0" w:rsidP="00372BE0">
      <w:pPr>
        <w:rPr>
          <w:rFonts w:ascii="Times New Roman" w:hAnsi="Times New Roman" w:cs="Times New Roman"/>
          <w:sz w:val="24"/>
          <w:szCs w:val="24"/>
        </w:rPr>
      </w:pPr>
      <w:r>
        <w:rPr>
          <w:noProof/>
        </w:rPr>
        <w:lastRenderedPageBreak/>
        <w:drawing>
          <wp:inline distT="0" distB="0" distL="0" distR="0" wp14:anchorId="56692324" wp14:editId="1A76037B">
            <wp:extent cx="5678805" cy="309300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72BE0" w:rsidRPr="00B738B5" w:rsidRDefault="00372BE0" w:rsidP="00372BE0">
      <w:pPr>
        <w:spacing w:after="0" w:line="240" w:lineRule="auto"/>
        <w:jc w:val="right"/>
        <w:rPr>
          <w:rFonts w:ascii="Times New Roman" w:hAnsi="Times New Roman" w:cs="Times New Roman"/>
          <w:i/>
          <w:sz w:val="24"/>
          <w:szCs w:val="24"/>
        </w:rPr>
      </w:pPr>
      <w:r w:rsidRPr="00B738B5">
        <w:rPr>
          <w:rFonts w:ascii="Times New Roman" w:hAnsi="Times New Roman" w:cs="Times New Roman"/>
          <w:i/>
          <w:sz w:val="24"/>
          <w:szCs w:val="24"/>
        </w:rPr>
        <w:t>Figure 3 Exports &amp; Mining Production</w:t>
      </w:r>
    </w:p>
    <w:p w:rsidR="00372BE0" w:rsidRDefault="00372BE0" w:rsidP="00372BE0">
      <w:pPr>
        <w:spacing w:after="0" w:line="240" w:lineRule="auto"/>
        <w:jc w:val="right"/>
        <w:rPr>
          <w:rFonts w:ascii="Times New Roman" w:hAnsi="Times New Roman" w:cs="Times New Roman"/>
          <w:sz w:val="24"/>
          <w:szCs w:val="24"/>
        </w:rPr>
      </w:pPr>
      <w:r w:rsidRPr="00B738B5">
        <w:rPr>
          <w:rFonts w:ascii="Times New Roman" w:hAnsi="Times New Roman" w:cs="Times New Roman"/>
          <w:i/>
          <w:sz w:val="24"/>
          <w:szCs w:val="24"/>
        </w:rPr>
        <w:t xml:space="preserve">Source CBA, </w:t>
      </w:r>
      <w:r w:rsidRPr="00B738B5">
        <w:rPr>
          <w:rFonts w:ascii="Times New Roman" w:hAnsi="Times New Roman" w:cs="Times New Roman"/>
          <w:i/>
          <w:color w:val="000000"/>
          <w:sz w:val="24"/>
          <w:szCs w:val="24"/>
        </w:rPr>
        <w:t>RA National Statistics Service</w:t>
      </w:r>
      <w:r>
        <w:rPr>
          <w:rFonts w:ascii="Times New Roman" w:hAnsi="Times New Roman" w:cs="Times New Roman"/>
          <w:sz w:val="24"/>
          <w:szCs w:val="24"/>
        </w:rPr>
        <w:t xml:space="preserve"> </w:t>
      </w:r>
    </w:p>
    <w:p w:rsidR="00A5332B" w:rsidRDefault="00A5332B" w:rsidP="00A5332B">
      <w:pPr>
        <w:spacing w:after="0" w:line="240" w:lineRule="auto"/>
        <w:rPr>
          <w:rFonts w:ascii="Times New Roman" w:hAnsi="Times New Roman" w:cs="Times New Roman"/>
          <w:sz w:val="24"/>
          <w:szCs w:val="24"/>
        </w:rPr>
      </w:pPr>
    </w:p>
    <w:p w:rsidR="00A5332B" w:rsidRDefault="00A5332B" w:rsidP="00A5332B">
      <w:pPr>
        <w:spacing w:after="0" w:line="240" w:lineRule="auto"/>
        <w:rPr>
          <w:rFonts w:ascii="Times New Roman" w:hAnsi="Times New Roman" w:cs="Times New Roman"/>
          <w:sz w:val="24"/>
          <w:szCs w:val="24"/>
        </w:rPr>
      </w:pPr>
    </w:p>
    <w:p w:rsidR="00A5332B" w:rsidRDefault="00A5332B" w:rsidP="00A5332B">
      <w:pPr>
        <w:spacing w:after="0" w:line="240" w:lineRule="auto"/>
        <w:rPr>
          <w:rFonts w:ascii="Times New Roman" w:hAnsi="Times New Roman" w:cs="Times New Roman"/>
          <w:sz w:val="24"/>
          <w:szCs w:val="24"/>
        </w:rPr>
      </w:pPr>
    </w:p>
    <w:p w:rsidR="00A5332B" w:rsidRDefault="00A5332B" w:rsidP="00A5332B">
      <w:pPr>
        <w:spacing w:after="0" w:line="240" w:lineRule="auto"/>
        <w:rPr>
          <w:rFonts w:ascii="Times New Roman" w:hAnsi="Times New Roman" w:cs="Times New Roman"/>
          <w:sz w:val="24"/>
          <w:szCs w:val="24"/>
        </w:rPr>
      </w:pPr>
      <w:r w:rsidRPr="002F4EB9">
        <w:rPr>
          <w:rFonts w:ascii="Times New Roman" w:hAnsi="Times New Roman" w:cs="Times New Roman"/>
          <w:noProof/>
          <w:sz w:val="24"/>
          <w:szCs w:val="24"/>
        </w:rPr>
        <w:drawing>
          <wp:inline distT="0" distB="0" distL="0" distR="0" wp14:anchorId="3C7052A3" wp14:editId="3C1EFF99">
            <wp:extent cx="3111365" cy="22647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tif"/>
                    <pic:cNvPicPr/>
                  </pic:nvPicPr>
                  <pic:blipFill>
                    <a:blip r:embed="rId31">
                      <a:extLst>
                        <a:ext uri="{28A0092B-C50C-407E-A947-70E740481C1C}">
                          <a14:useLocalDpi xmlns:a14="http://schemas.microsoft.com/office/drawing/2010/main" val="0"/>
                        </a:ext>
                      </a:extLst>
                    </a:blip>
                    <a:stretch>
                      <a:fillRect/>
                    </a:stretch>
                  </pic:blipFill>
                  <pic:spPr>
                    <a:xfrm>
                      <a:off x="0" y="0"/>
                      <a:ext cx="3118343" cy="2269814"/>
                    </a:xfrm>
                    <a:prstGeom prst="rect">
                      <a:avLst/>
                    </a:prstGeom>
                  </pic:spPr>
                </pic:pic>
              </a:graphicData>
            </a:graphic>
          </wp:inline>
        </w:drawing>
      </w:r>
    </w:p>
    <w:p w:rsidR="00A5332B" w:rsidRDefault="00A5332B" w:rsidP="00A5332B">
      <w:pPr>
        <w:spacing w:after="0" w:line="360" w:lineRule="auto"/>
        <w:jc w:val="right"/>
        <w:rPr>
          <w:rFonts w:ascii="Times New Roman" w:hAnsi="Times New Roman" w:cs="Times New Roman"/>
          <w:i/>
          <w:sz w:val="24"/>
          <w:szCs w:val="24"/>
        </w:rPr>
      </w:pPr>
    </w:p>
    <w:p w:rsidR="00A5332B" w:rsidRPr="00E44CAD" w:rsidRDefault="00A5332B" w:rsidP="00A5332B">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Figure 4</w:t>
      </w:r>
      <w:r w:rsidRPr="00E44CAD">
        <w:rPr>
          <w:rFonts w:ascii="Times New Roman" w:hAnsi="Times New Roman" w:cs="Times New Roman"/>
          <w:i/>
          <w:sz w:val="24"/>
          <w:szCs w:val="24"/>
        </w:rPr>
        <w:t>. VEC Model 1 Stability Graph</w:t>
      </w:r>
    </w:p>
    <w:p w:rsidR="00A5332B" w:rsidRPr="002F4EB9" w:rsidRDefault="00A5332B" w:rsidP="00A5332B">
      <w:pPr>
        <w:spacing w:line="360" w:lineRule="auto"/>
        <w:rPr>
          <w:rFonts w:ascii="Times New Roman" w:hAnsi="Times New Roman" w:cs="Times New Roman"/>
          <w:sz w:val="24"/>
          <w:szCs w:val="24"/>
        </w:rPr>
      </w:pPr>
    </w:p>
    <w:p w:rsidR="00A5332B" w:rsidRPr="002F4EB9" w:rsidRDefault="00A5332B" w:rsidP="00A5332B">
      <w:pPr>
        <w:rPr>
          <w:rFonts w:ascii="Times New Roman" w:hAnsi="Times New Roman" w:cs="Times New Roman"/>
          <w:sz w:val="24"/>
          <w:szCs w:val="24"/>
        </w:rPr>
      </w:pPr>
    </w:p>
    <w:p w:rsidR="00A5332B" w:rsidRPr="002F4EB9" w:rsidRDefault="00A5332B" w:rsidP="00A5332B">
      <w:pPr>
        <w:rPr>
          <w:rFonts w:ascii="Times New Roman" w:hAnsi="Times New Roman" w:cs="Times New Roman"/>
          <w:sz w:val="24"/>
          <w:szCs w:val="24"/>
        </w:rPr>
      </w:pPr>
      <w:r w:rsidRPr="002F4EB9">
        <w:rPr>
          <w:rFonts w:ascii="Times New Roman" w:hAnsi="Times New Roman" w:cs="Times New Roman"/>
          <w:noProof/>
          <w:sz w:val="24"/>
          <w:szCs w:val="24"/>
        </w:rPr>
        <w:lastRenderedPageBreak/>
        <w:drawing>
          <wp:inline distT="0" distB="0" distL="0" distR="0" wp14:anchorId="0C4055E5" wp14:editId="1B2BE658">
            <wp:extent cx="3023721" cy="2200940"/>
            <wp:effectExtent l="0" t="0" r="571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2.tif"/>
                    <pic:cNvPicPr/>
                  </pic:nvPicPr>
                  <pic:blipFill>
                    <a:blip r:embed="rId32">
                      <a:extLst>
                        <a:ext uri="{28A0092B-C50C-407E-A947-70E740481C1C}">
                          <a14:useLocalDpi xmlns:a14="http://schemas.microsoft.com/office/drawing/2010/main" val="0"/>
                        </a:ext>
                      </a:extLst>
                    </a:blip>
                    <a:stretch>
                      <a:fillRect/>
                    </a:stretch>
                  </pic:blipFill>
                  <pic:spPr>
                    <a:xfrm>
                      <a:off x="0" y="0"/>
                      <a:ext cx="3029648" cy="2205254"/>
                    </a:xfrm>
                    <a:prstGeom prst="rect">
                      <a:avLst/>
                    </a:prstGeom>
                  </pic:spPr>
                </pic:pic>
              </a:graphicData>
            </a:graphic>
          </wp:inline>
        </w:drawing>
      </w:r>
    </w:p>
    <w:p w:rsidR="00A5332B" w:rsidRPr="00E44CAD" w:rsidRDefault="00A5332B" w:rsidP="00A5332B">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Figure 5</w:t>
      </w:r>
      <w:r w:rsidRPr="00E44CAD">
        <w:rPr>
          <w:rFonts w:ascii="Times New Roman" w:hAnsi="Times New Roman" w:cs="Times New Roman"/>
          <w:i/>
          <w:sz w:val="24"/>
          <w:szCs w:val="24"/>
        </w:rPr>
        <w:t xml:space="preserve">. VEC </w:t>
      </w:r>
      <w:r>
        <w:rPr>
          <w:rFonts w:ascii="Times New Roman" w:hAnsi="Times New Roman" w:cs="Times New Roman"/>
          <w:i/>
          <w:sz w:val="24"/>
          <w:szCs w:val="24"/>
        </w:rPr>
        <w:t>Model 2</w:t>
      </w:r>
      <w:r w:rsidRPr="00E44CAD">
        <w:rPr>
          <w:rFonts w:ascii="Times New Roman" w:hAnsi="Times New Roman" w:cs="Times New Roman"/>
          <w:i/>
          <w:sz w:val="24"/>
          <w:szCs w:val="24"/>
        </w:rPr>
        <w:t xml:space="preserve"> Stability Graph</w:t>
      </w:r>
    </w:p>
    <w:p w:rsidR="00A5332B" w:rsidRDefault="00A5332B" w:rsidP="00A5332B">
      <w:pPr>
        <w:rPr>
          <w:rFonts w:ascii="Times New Roman" w:hAnsi="Times New Roman" w:cs="Times New Roman"/>
          <w:sz w:val="24"/>
          <w:szCs w:val="24"/>
        </w:rPr>
      </w:pPr>
    </w:p>
    <w:p w:rsidR="00A5332B" w:rsidRDefault="00A5332B" w:rsidP="00A5332B">
      <w:pPr>
        <w:rPr>
          <w:rFonts w:ascii="Times New Roman" w:hAnsi="Times New Roman" w:cs="Times New Roman"/>
          <w:sz w:val="24"/>
          <w:szCs w:val="24"/>
        </w:rPr>
      </w:pPr>
    </w:p>
    <w:p w:rsidR="00A5332B" w:rsidRDefault="00A5332B" w:rsidP="00A5332B">
      <w:pPr>
        <w:rPr>
          <w:rFonts w:ascii="Times New Roman" w:hAnsi="Times New Roman" w:cs="Times New Roman"/>
          <w:sz w:val="24"/>
          <w:szCs w:val="24"/>
        </w:rPr>
      </w:pPr>
      <w:r w:rsidRPr="002F4EB9">
        <w:rPr>
          <w:rFonts w:ascii="Times New Roman" w:hAnsi="Times New Roman" w:cs="Times New Roman"/>
          <w:noProof/>
          <w:sz w:val="24"/>
          <w:szCs w:val="24"/>
        </w:rPr>
        <w:drawing>
          <wp:inline distT="0" distB="0" distL="0" distR="0" wp14:anchorId="7E3081A0" wp14:editId="25E9D827">
            <wp:extent cx="2934586" cy="21360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3.tif"/>
                    <pic:cNvPicPr/>
                  </pic:nvPicPr>
                  <pic:blipFill>
                    <a:blip r:embed="rId33">
                      <a:extLst>
                        <a:ext uri="{28A0092B-C50C-407E-A947-70E740481C1C}">
                          <a14:useLocalDpi xmlns:a14="http://schemas.microsoft.com/office/drawing/2010/main" val="0"/>
                        </a:ext>
                      </a:extLst>
                    </a:blip>
                    <a:stretch>
                      <a:fillRect/>
                    </a:stretch>
                  </pic:blipFill>
                  <pic:spPr>
                    <a:xfrm>
                      <a:off x="0" y="0"/>
                      <a:ext cx="2944142" cy="2143015"/>
                    </a:xfrm>
                    <a:prstGeom prst="rect">
                      <a:avLst/>
                    </a:prstGeom>
                  </pic:spPr>
                </pic:pic>
              </a:graphicData>
            </a:graphic>
          </wp:inline>
        </w:drawing>
      </w:r>
    </w:p>
    <w:p w:rsidR="00A5332B" w:rsidRPr="00E44CAD" w:rsidRDefault="00A5332B" w:rsidP="00A5332B">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Figure 6</w:t>
      </w:r>
      <w:r w:rsidRPr="00E44CAD">
        <w:rPr>
          <w:rFonts w:ascii="Times New Roman" w:hAnsi="Times New Roman" w:cs="Times New Roman"/>
          <w:i/>
          <w:sz w:val="24"/>
          <w:szCs w:val="24"/>
        </w:rPr>
        <w:t xml:space="preserve">. VEC </w:t>
      </w:r>
      <w:r>
        <w:rPr>
          <w:rFonts w:ascii="Times New Roman" w:hAnsi="Times New Roman" w:cs="Times New Roman"/>
          <w:i/>
          <w:sz w:val="24"/>
          <w:szCs w:val="24"/>
        </w:rPr>
        <w:t>Model 3</w:t>
      </w:r>
      <w:r w:rsidRPr="00E44CAD">
        <w:rPr>
          <w:rFonts w:ascii="Times New Roman" w:hAnsi="Times New Roman" w:cs="Times New Roman"/>
          <w:i/>
          <w:sz w:val="24"/>
          <w:szCs w:val="24"/>
        </w:rPr>
        <w:t xml:space="preserve"> Stability Graph</w:t>
      </w:r>
    </w:p>
    <w:p w:rsidR="00A5332B" w:rsidRPr="002F4EB9" w:rsidRDefault="00A5332B" w:rsidP="00A5332B">
      <w:pPr>
        <w:rPr>
          <w:rFonts w:ascii="Times New Roman" w:hAnsi="Times New Roman" w:cs="Times New Roman"/>
          <w:sz w:val="24"/>
          <w:szCs w:val="24"/>
        </w:rPr>
      </w:pPr>
    </w:p>
    <w:p w:rsidR="00A5332B" w:rsidRDefault="00A5332B" w:rsidP="00A5332B">
      <w:pPr>
        <w:rPr>
          <w:rFonts w:ascii="Times New Roman" w:hAnsi="Times New Roman" w:cs="Times New Roman"/>
          <w:sz w:val="24"/>
          <w:szCs w:val="24"/>
        </w:rPr>
      </w:pPr>
      <w:r>
        <w:rPr>
          <w:noProof/>
        </w:rPr>
        <w:drawing>
          <wp:inline distT="0" distB="0" distL="0" distR="0" wp14:anchorId="171621C5" wp14:editId="471A2EA0">
            <wp:extent cx="2934586" cy="2136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4.tif"/>
                    <pic:cNvPicPr/>
                  </pic:nvPicPr>
                  <pic:blipFill>
                    <a:blip r:embed="rId34">
                      <a:extLst>
                        <a:ext uri="{28A0092B-C50C-407E-A947-70E740481C1C}">
                          <a14:useLocalDpi xmlns:a14="http://schemas.microsoft.com/office/drawing/2010/main" val="0"/>
                        </a:ext>
                      </a:extLst>
                    </a:blip>
                    <a:stretch>
                      <a:fillRect/>
                    </a:stretch>
                  </pic:blipFill>
                  <pic:spPr>
                    <a:xfrm>
                      <a:off x="0" y="0"/>
                      <a:ext cx="2948578" cy="2146245"/>
                    </a:xfrm>
                    <a:prstGeom prst="rect">
                      <a:avLst/>
                    </a:prstGeom>
                  </pic:spPr>
                </pic:pic>
              </a:graphicData>
            </a:graphic>
          </wp:inline>
        </w:drawing>
      </w:r>
    </w:p>
    <w:p w:rsidR="00A5332B" w:rsidRPr="00E44CAD" w:rsidRDefault="00A5332B" w:rsidP="00A5332B">
      <w:pPr>
        <w:spacing w:after="0" w:line="360" w:lineRule="auto"/>
        <w:jc w:val="right"/>
        <w:rPr>
          <w:rFonts w:ascii="Times New Roman" w:hAnsi="Times New Roman" w:cs="Times New Roman"/>
          <w:i/>
          <w:sz w:val="24"/>
          <w:szCs w:val="24"/>
        </w:rPr>
      </w:pPr>
      <w:r>
        <w:rPr>
          <w:rFonts w:ascii="Times New Roman" w:hAnsi="Times New Roman" w:cs="Times New Roman"/>
          <w:i/>
          <w:sz w:val="24"/>
          <w:szCs w:val="24"/>
        </w:rPr>
        <w:t>Figure 7</w:t>
      </w:r>
      <w:r w:rsidRPr="00E44CAD">
        <w:rPr>
          <w:rFonts w:ascii="Times New Roman" w:hAnsi="Times New Roman" w:cs="Times New Roman"/>
          <w:i/>
          <w:sz w:val="24"/>
          <w:szCs w:val="24"/>
        </w:rPr>
        <w:t xml:space="preserve">. VEC </w:t>
      </w:r>
      <w:r>
        <w:rPr>
          <w:rFonts w:ascii="Times New Roman" w:hAnsi="Times New Roman" w:cs="Times New Roman"/>
          <w:i/>
          <w:sz w:val="24"/>
          <w:szCs w:val="24"/>
        </w:rPr>
        <w:t>Model 4</w:t>
      </w:r>
      <w:r w:rsidRPr="00E44CAD">
        <w:rPr>
          <w:rFonts w:ascii="Times New Roman" w:hAnsi="Times New Roman" w:cs="Times New Roman"/>
          <w:i/>
          <w:sz w:val="24"/>
          <w:szCs w:val="24"/>
        </w:rPr>
        <w:t xml:space="preserve"> Stability Graph</w:t>
      </w:r>
    </w:p>
    <w:p w:rsidR="00A5332B" w:rsidRDefault="00A5332B" w:rsidP="00A5332B">
      <w:pPr>
        <w:rPr>
          <w:rFonts w:ascii="Times New Roman" w:hAnsi="Times New Roman" w:cs="Times New Roman"/>
          <w:sz w:val="24"/>
          <w:szCs w:val="24"/>
        </w:rPr>
      </w:pPr>
      <w:r>
        <w:rPr>
          <w:rFonts w:ascii="Times New Roman" w:hAnsi="Times New Roman" w:cs="Times New Roman"/>
          <w:sz w:val="24"/>
          <w:szCs w:val="24"/>
        </w:rPr>
        <w:lastRenderedPageBreak/>
        <w:t>IRF graphs for the 4 VECM regressions.</w:t>
      </w:r>
    </w:p>
    <w:p w:rsidR="00A5332B" w:rsidRDefault="00BF71E1" w:rsidP="00A5332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27B8278" wp14:editId="67492755">
            <wp:extent cx="5114925" cy="3895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35">
                      <a:extLst>
                        <a:ext uri="{28A0092B-C50C-407E-A947-70E740481C1C}">
                          <a14:useLocalDpi xmlns:a14="http://schemas.microsoft.com/office/drawing/2010/main" val="0"/>
                        </a:ext>
                      </a:extLst>
                    </a:blip>
                    <a:stretch>
                      <a:fillRect/>
                    </a:stretch>
                  </pic:blipFill>
                  <pic:spPr>
                    <a:xfrm>
                      <a:off x="0" y="0"/>
                      <a:ext cx="5114925" cy="3895725"/>
                    </a:xfrm>
                    <a:prstGeom prst="rect">
                      <a:avLst/>
                    </a:prstGeom>
                  </pic:spPr>
                </pic:pic>
              </a:graphicData>
            </a:graphic>
          </wp:inline>
        </w:drawing>
      </w:r>
    </w:p>
    <w:p w:rsidR="00A5332B" w:rsidRPr="00C77467" w:rsidRDefault="00A5332B" w:rsidP="00A5332B">
      <w:pPr>
        <w:jc w:val="right"/>
        <w:rPr>
          <w:rFonts w:ascii="Times New Roman" w:hAnsi="Times New Roman" w:cs="Times New Roman"/>
          <w:i/>
          <w:sz w:val="24"/>
          <w:szCs w:val="24"/>
        </w:rPr>
      </w:pPr>
      <w:r>
        <w:rPr>
          <w:rFonts w:ascii="Times New Roman" w:hAnsi="Times New Roman" w:cs="Times New Roman"/>
          <w:i/>
          <w:sz w:val="24"/>
          <w:szCs w:val="24"/>
        </w:rPr>
        <w:t>Figure 8</w:t>
      </w:r>
      <w:r w:rsidRPr="00C77467">
        <w:rPr>
          <w:rFonts w:ascii="Times New Roman" w:hAnsi="Times New Roman" w:cs="Times New Roman"/>
          <w:i/>
          <w:sz w:val="24"/>
          <w:szCs w:val="24"/>
        </w:rPr>
        <w:t>. IRF graphs</w:t>
      </w:r>
    </w:p>
    <w:p w:rsidR="00372BE0" w:rsidRPr="00A50F40" w:rsidRDefault="00372BE0" w:rsidP="00223A37">
      <w:pPr>
        <w:spacing w:after="0" w:line="480" w:lineRule="auto"/>
        <w:jc w:val="both"/>
        <w:rPr>
          <w:rFonts w:ascii="Times New Roman" w:hAnsi="Times New Roman" w:cs="Times New Roman"/>
          <w:sz w:val="24"/>
          <w:szCs w:val="24"/>
        </w:rPr>
      </w:pPr>
    </w:p>
    <w:sectPr w:rsidR="00372BE0" w:rsidRPr="00A50F40" w:rsidSect="005D38AA">
      <w:footerReference w:type="default" r:id="rId36"/>
      <w:pgSz w:w="11909" w:h="16834"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DAA" w:rsidRDefault="008A4DAA" w:rsidP="00AB2C6C">
      <w:pPr>
        <w:spacing w:after="0" w:line="240" w:lineRule="auto"/>
      </w:pPr>
      <w:r>
        <w:separator/>
      </w:r>
    </w:p>
  </w:endnote>
  <w:endnote w:type="continuationSeparator" w:id="0">
    <w:p w:rsidR="008A4DAA" w:rsidRDefault="008A4DAA" w:rsidP="00AB2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912719"/>
      <w:docPartObj>
        <w:docPartGallery w:val="Page Numbers (Bottom of Page)"/>
        <w:docPartUnique/>
      </w:docPartObj>
    </w:sdtPr>
    <w:sdtEndPr/>
    <w:sdtContent>
      <w:p w:rsidR="00526912" w:rsidRDefault="00526912">
        <w:pPr>
          <w:pStyle w:val="Footer"/>
          <w:jc w:val="right"/>
        </w:pPr>
        <w:r>
          <w:t xml:space="preserve">Page | </w:t>
        </w:r>
        <w:r>
          <w:fldChar w:fldCharType="begin"/>
        </w:r>
        <w:r>
          <w:instrText xml:space="preserve"> PAGE   \* MERGEFORMAT </w:instrText>
        </w:r>
        <w:r>
          <w:fldChar w:fldCharType="separate"/>
        </w:r>
        <w:r w:rsidR="00603A56">
          <w:rPr>
            <w:noProof/>
          </w:rPr>
          <w:t>44</w:t>
        </w:r>
        <w:r>
          <w:rPr>
            <w:noProof/>
          </w:rPr>
          <w:fldChar w:fldCharType="end"/>
        </w:r>
        <w:r>
          <w:t xml:space="preserve"> </w:t>
        </w:r>
      </w:p>
    </w:sdtContent>
  </w:sdt>
  <w:p w:rsidR="00526912" w:rsidRDefault="005269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DAA" w:rsidRDefault="008A4DAA" w:rsidP="00AB2C6C">
      <w:pPr>
        <w:spacing w:after="0" w:line="240" w:lineRule="auto"/>
      </w:pPr>
      <w:r>
        <w:separator/>
      </w:r>
    </w:p>
  </w:footnote>
  <w:footnote w:type="continuationSeparator" w:id="0">
    <w:p w:rsidR="008A4DAA" w:rsidRDefault="008A4DAA" w:rsidP="00AB2C6C">
      <w:pPr>
        <w:spacing w:after="0" w:line="240" w:lineRule="auto"/>
      </w:pPr>
      <w:r>
        <w:continuationSeparator/>
      </w:r>
    </w:p>
  </w:footnote>
  <w:footnote w:id="1">
    <w:p w:rsidR="00526912" w:rsidRDefault="00526912">
      <w:pPr>
        <w:pStyle w:val="FootnoteText"/>
      </w:pPr>
      <w:r>
        <w:rPr>
          <w:rStyle w:val="FootnoteReference"/>
        </w:rPr>
        <w:footnoteRef/>
      </w:r>
      <w:r>
        <w:t xml:space="preserve"> Source: 2011 Minerals Yearbook Armenia, USGS </w:t>
      </w:r>
    </w:p>
  </w:footnote>
  <w:footnote w:id="2">
    <w:p w:rsidR="00526912" w:rsidRDefault="00526912">
      <w:pPr>
        <w:pStyle w:val="FootnoteText"/>
      </w:pPr>
      <w:r>
        <w:rPr>
          <w:rStyle w:val="FootnoteReference"/>
        </w:rPr>
        <w:footnoteRef/>
      </w:r>
      <w:r>
        <w:t xml:space="preserve"> </w:t>
      </w:r>
      <w:r w:rsidRPr="00592545">
        <w:rPr>
          <w:rFonts w:ascii="Times New Roman" w:hAnsi="Times New Roman" w:cs="Times New Roman"/>
        </w:rPr>
        <w:t>http://www.tradingeconomics.com/armenia/inflation-cpi</w:t>
      </w:r>
    </w:p>
  </w:footnote>
  <w:footnote w:id="3">
    <w:p w:rsidR="00526912" w:rsidRDefault="00526912">
      <w:pPr>
        <w:pStyle w:val="FootnoteText"/>
      </w:pPr>
      <w:r>
        <w:rPr>
          <w:rStyle w:val="FootnoteReference"/>
        </w:rPr>
        <w:footnoteRef/>
      </w:r>
      <w:r>
        <w:t xml:space="preserve"> Source: CIA, World Factbook</w:t>
      </w:r>
    </w:p>
  </w:footnote>
  <w:footnote w:id="4">
    <w:p w:rsidR="00526912" w:rsidRDefault="00526912" w:rsidP="00603DD6">
      <w:pPr>
        <w:pStyle w:val="FootnoteText"/>
      </w:pPr>
      <w:r>
        <w:rPr>
          <w:rStyle w:val="FootnoteReference"/>
        </w:rPr>
        <w:footnoteRef/>
      </w:r>
      <w:r>
        <w:t xml:space="preserve"> See appendix, Table 2 and Figure 2 </w:t>
      </w:r>
    </w:p>
  </w:footnote>
  <w:footnote w:id="5">
    <w:p w:rsidR="00526912" w:rsidRDefault="00526912">
      <w:pPr>
        <w:pStyle w:val="FootnoteText"/>
      </w:pPr>
      <w:r>
        <w:rPr>
          <w:rStyle w:val="FootnoteReference"/>
        </w:rPr>
        <w:footnoteRef/>
      </w:r>
      <w:r>
        <w:t xml:space="preserve"> </w:t>
      </w:r>
      <w:r w:rsidRPr="00603DD6">
        <w:t>See copper prices in appendix,</w:t>
      </w:r>
      <w:r>
        <w:t xml:space="preserve"> Figure 1</w:t>
      </w:r>
    </w:p>
  </w:footnote>
  <w:footnote w:id="6">
    <w:p w:rsidR="00526912" w:rsidRDefault="00526912" w:rsidP="002C51E3">
      <w:pPr>
        <w:pStyle w:val="FootnoteText"/>
      </w:pPr>
      <w:r>
        <w:rPr>
          <w:rStyle w:val="FootnoteReference"/>
        </w:rPr>
        <w:footnoteRef/>
      </w:r>
      <w:r>
        <w:t xml:space="preserve"> </w:t>
      </w:r>
      <w:r w:rsidRPr="00E22287">
        <w:t xml:space="preserve">See appendix </w:t>
      </w:r>
      <w:r>
        <w:t>Table 1</w:t>
      </w:r>
    </w:p>
  </w:footnote>
  <w:footnote w:id="7">
    <w:p w:rsidR="00526912" w:rsidRDefault="00526912">
      <w:pPr>
        <w:pStyle w:val="FootnoteText"/>
      </w:pPr>
      <w:r>
        <w:rPr>
          <w:rStyle w:val="FootnoteReference"/>
        </w:rPr>
        <w:footnoteRef/>
      </w:r>
      <w:r>
        <w:t xml:space="preserve"> See Appendix for Stability Graphs in VECM regression</w:t>
      </w:r>
    </w:p>
  </w:footnote>
  <w:footnote w:id="8">
    <w:p w:rsidR="00526912" w:rsidRDefault="00526912">
      <w:pPr>
        <w:pStyle w:val="FootnoteText"/>
      </w:pPr>
      <w:r>
        <w:rPr>
          <w:rStyle w:val="FootnoteReference"/>
        </w:rPr>
        <w:footnoteRef/>
      </w:r>
      <w:r>
        <w:t xml:space="preserve"> Standard Deviation is in brackets</w:t>
      </w:r>
    </w:p>
    <w:p w:rsidR="00526912" w:rsidRDefault="00526912">
      <w:pPr>
        <w:pStyle w:val="FootnoteText"/>
      </w:pPr>
      <w:r>
        <w:t xml:space="preserve">*** significance at 1%, ** significance at 5%, * significance at 10%  </w:t>
      </w:r>
    </w:p>
  </w:footnote>
  <w:footnote w:id="9">
    <w:p w:rsidR="00526912" w:rsidRDefault="00526912" w:rsidP="00BF1849">
      <w:pPr>
        <w:pStyle w:val="FootnoteText"/>
      </w:pPr>
      <w:r>
        <w:rPr>
          <w:rStyle w:val="FootnoteReference"/>
        </w:rPr>
        <w:footnoteRef/>
      </w:r>
      <w:r>
        <w:t xml:space="preserve"> For full cointegrated model see Appendix, Table 3. </w:t>
      </w:r>
    </w:p>
  </w:footnote>
  <w:footnote w:id="10">
    <w:p w:rsidR="00526912" w:rsidRDefault="00526912" w:rsidP="006E46D4">
      <w:pPr>
        <w:pStyle w:val="FootnoteText"/>
      </w:pPr>
      <w:r>
        <w:rPr>
          <w:rStyle w:val="FootnoteReference"/>
        </w:rPr>
        <w:footnoteRef/>
      </w:r>
      <w:r>
        <w:t xml:space="preserve"> Standard Deviation is in brackets</w:t>
      </w:r>
    </w:p>
    <w:p w:rsidR="00526912" w:rsidRDefault="00526912" w:rsidP="006E46D4">
      <w:pPr>
        <w:pStyle w:val="FootnoteText"/>
      </w:pPr>
      <w:r>
        <w:t xml:space="preserve">*** significance at 1%, ** significance at 5%, * significance at 10%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0D1E1B"/>
    <w:multiLevelType w:val="hybridMultilevel"/>
    <w:tmpl w:val="64C0AF96"/>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1BA"/>
    <w:rsid w:val="00005B0E"/>
    <w:rsid w:val="00013227"/>
    <w:rsid w:val="000146C1"/>
    <w:rsid w:val="0002573D"/>
    <w:rsid w:val="00034F41"/>
    <w:rsid w:val="0004255F"/>
    <w:rsid w:val="000431CA"/>
    <w:rsid w:val="0006608D"/>
    <w:rsid w:val="0007122D"/>
    <w:rsid w:val="000756C0"/>
    <w:rsid w:val="00084363"/>
    <w:rsid w:val="00093D9B"/>
    <w:rsid w:val="000B38C8"/>
    <w:rsid w:val="000B715A"/>
    <w:rsid w:val="000C0D71"/>
    <w:rsid w:val="000C1C1B"/>
    <w:rsid w:val="000C3AF7"/>
    <w:rsid w:val="000D1336"/>
    <w:rsid w:val="000D3758"/>
    <w:rsid w:val="000D4E9F"/>
    <w:rsid w:val="000E461A"/>
    <w:rsid w:val="000F0276"/>
    <w:rsid w:val="000F1E22"/>
    <w:rsid w:val="000F2561"/>
    <w:rsid w:val="001034C3"/>
    <w:rsid w:val="00107941"/>
    <w:rsid w:val="00120D07"/>
    <w:rsid w:val="00121256"/>
    <w:rsid w:val="001405F8"/>
    <w:rsid w:val="00140999"/>
    <w:rsid w:val="0014233E"/>
    <w:rsid w:val="00142E5D"/>
    <w:rsid w:val="001432E8"/>
    <w:rsid w:val="001501C7"/>
    <w:rsid w:val="001543DA"/>
    <w:rsid w:val="00160D3A"/>
    <w:rsid w:val="00161051"/>
    <w:rsid w:val="00167711"/>
    <w:rsid w:val="00174495"/>
    <w:rsid w:val="00182325"/>
    <w:rsid w:val="00192228"/>
    <w:rsid w:val="0019403B"/>
    <w:rsid w:val="00195BEE"/>
    <w:rsid w:val="001969C3"/>
    <w:rsid w:val="001A1915"/>
    <w:rsid w:val="001A5171"/>
    <w:rsid w:val="001B0D4F"/>
    <w:rsid w:val="001C4E0E"/>
    <w:rsid w:val="001D2ADA"/>
    <w:rsid w:val="001D335B"/>
    <w:rsid w:val="001F1641"/>
    <w:rsid w:val="001F672F"/>
    <w:rsid w:val="00201F0B"/>
    <w:rsid w:val="00210C67"/>
    <w:rsid w:val="00216058"/>
    <w:rsid w:val="00223A37"/>
    <w:rsid w:val="00234B10"/>
    <w:rsid w:val="002354FF"/>
    <w:rsid w:val="00240AC9"/>
    <w:rsid w:val="00241020"/>
    <w:rsid w:val="00254F5D"/>
    <w:rsid w:val="00263550"/>
    <w:rsid w:val="002726E5"/>
    <w:rsid w:val="002769D8"/>
    <w:rsid w:val="00276D09"/>
    <w:rsid w:val="00285DAF"/>
    <w:rsid w:val="00291C10"/>
    <w:rsid w:val="002936CC"/>
    <w:rsid w:val="002A5F60"/>
    <w:rsid w:val="002A5F69"/>
    <w:rsid w:val="002A6FA3"/>
    <w:rsid w:val="002B2B16"/>
    <w:rsid w:val="002B6BE1"/>
    <w:rsid w:val="002B7B96"/>
    <w:rsid w:val="002C51E3"/>
    <w:rsid w:val="002C63A6"/>
    <w:rsid w:val="002C7B75"/>
    <w:rsid w:val="002D043F"/>
    <w:rsid w:val="002D37DF"/>
    <w:rsid w:val="002D40C0"/>
    <w:rsid w:val="002D4B83"/>
    <w:rsid w:val="002D5C2F"/>
    <w:rsid w:val="002E34AC"/>
    <w:rsid w:val="002E3D75"/>
    <w:rsid w:val="002F3373"/>
    <w:rsid w:val="003011F7"/>
    <w:rsid w:val="00301F0B"/>
    <w:rsid w:val="0030272D"/>
    <w:rsid w:val="00304F55"/>
    <w:rsid w:val="00306475"/>
    <w:rsid w:val="003233D6"/>
    <w:rsid w:val="003268BD"/>
    <w:rsid w:val="00327B56"/>
    <w:rsid w:val="00331DF1"/>
    <w:rsid w:val="00334237"/>
    <w:rsid w:val="00345279"/>
    <w:rsid w:val="0035096B"/>
    <w:rsid w:val="00351A43"/>
    <w:rsid w:val="00352F7E"/>
    <w:rsid w:val="003557D6"/>
    <w:rsid w:val="0035764B"/>
    <w:rsid w:val="00360AEC"/>
    <w:rsid w:val="00364059"/>
    <w:rsid w:val="00365912"/>
    <w:rsid w:val="0036710E"/>
    <w:rsid w:val="003719C2"/>
    <w:rsid w:val="00372BE0"/>
    <w:rsid w:val="0038650A"/>
    <w:rsid w:val="00390493"/>
    <w:rsid w:val="003A0E6A"/>
    <w:rsid w:val="003E05F0"/>
    <w:rsid w:val="003E2085"/>
    <w:rsid w:val="003E4A51"/>
    <w:rsid w:val="003F17DB"/>
    <w:rsid w:val="003F1A83"/>
    <w:rsid w:val="00400869"/>
    <w:rsid w:val="00401B88"/>
    <w:rsid w:val="0040370A"/>
    <w:rsid w:val="00404C93"/>
    <w:rsid w:val="004059C5"/>
    <w:rsid w:val="004064F9"/>
    <w:rsid w:val="004075D2"/>
    <w:rsid w:val="0041601A"/>
    <w:rsid w:val="00424E7E"/>
    <w:rsid w:val="004336B2"/>
    <w:rsid w:val="00433DBC"/>
    <w:rsid w:val="0043734C"/>
    <w:rsid w:val="00437989"/>
    <w:rsid w:val="00441DA3"/>
    <w:rsid w:val="00445D17"/>
    <w:rsid w:val="00446459"/>
    <w:rsid w:val="00450298"/>
    <w:rsid w:val="00451833"/>
    <w:rsid w:val="00460142"/>
    <w:rsid w:val="004611BA"/>
    <w:rsid w:val="004708DA"/>
    <w:rsid w:val="00480997"/>
    <w:rsid w:val="00482D1F"/>
    <w:rsid w:val="00490E2A"/>
    <w:rsid w:val="004926F2"/>
    <w:rsid w:val="004A01A4"/>
    <w:rsid w:val="004A45FC"/>
    <w:rsid w:val="004B09B7"/>
    <w:rsid w:val="004B44C0"/>
    <w:rsid w:val="004B5CFE"/>
    <w:rsid w:val="004C1313"/>
    <w:rsid w:val="004D49C7"/>
    <w:rsid w:val="004E1C5E"/>
    <w:rsid w:val="004E63EC"/>
    <w:rsid w:val="004F1594"/>
    <w:rsid w:val="004F73D5"/>
    <w:rsid w:val="00500BB1"/>
    <w:rsid w:val="00501C33"/>
    <w:rsid w:val="0051298B"/>
    <w:rsid w:val="0051590B"/>
    <w:rsid w:val="005172BD"/>
    <w:rsid w:val="00526912"/>
    <w:rsid w:val="00527663"/>
    <w:rsid w:val="00535D35"/>
    <w:rsid w:val="00536589"/>
    <w:rsid w:val="00551E3F"/>
    <w:rsid w:val="005571B7"/>
    <w:rsid w:val="0057253A"/>
    <w:rsid w:val="00576D90"/>
    <w:rsid w:val="005774EC"/>
    <w:rsid w:val="00583034"/>
    <w:rsid w:val="005847E7"/>
    <w:rsid w:val="00592545"/>
    <w:rsid w:val="0059522B"/>
    <w:rsid w:val="00595510"/>
    <w:rsid w:val="005A0755"/>
    <w:rsid w:val="005C197C"/>
    <w:rsid w:val="005C3C6C"/>
    <w:rsid w:val="005C47AE"/>
    <w:rsid w:val="005C53EC"/>
    <w:rsid w:val="005D05C5"/>
    <w:rsid w:val="005D3675"/>
    <w:rsid w:val="005D38AA"/>
    <w:rsid w:val="005E1DE8"/>
    <w:rsid w:val="005E40FB"/>
    <w:rsid w:val="005F1B0F"/>
    <w:rsid w:val="005F36F0"/>
    <w:rsid w:val="005F3AD5"/>
    <w:rsid w:val="005F3F41"/>
    <w:rsid w:val="005F5F84"/>
    <w:rsid w:val="005F6E9C"/>
    <w:rsid w:val="00603A56"/>
    <w:rsid w:val="00603DD6"/>
    <w:rsid w:val="00607240"/>
    <w:rsid w:val="00624A48"/>
    <w:rsid w:val="00626315"/>
    <w:rsid w:val="0062701B"/>
    <w:rsid w:val="00627BF7"/>
    <w:rsid w:val="00631328"/>
    <w:rsid w:val="00633364"/>
    <w:rsid w:val="00633A45"/>
    <w:rsid w:val="00637DA6"/>
    <w:rsid w:val="00675593"/>
    <w:rsid w:val="006764D2"/>
    <w:rsid w:val="00682323"/>
    <w:rsid w:val="00686BA0"/>
    <w:rsid w:val="006A0C31"/>
    <w:rsid w:val="006A1B99"/>
    <w:rsid w:val="006C0B93"/>
    <w:rsid w:val="006C1657"/>
    <w:rsid w:val="006D0954"/>
    <w:rsid w:val="006D3CF7"/>
    <w:rsid w:val="006E2A98"/>
    <w:rsid w:val="006E3B43"/>
    <w:rsid w:val="006E46D4"/>
    <w:rsid w:val="006E46E8"/>
    <w:rsid w:val="006E640F"/>
    <w:rsid w:val="006F4A05"/>
    <w:rsid w:val="007070BF"/>
    <w:rsid w:val="00717470"/>
    <w:rsid w:val="007209F6"/>
    <w:rsid w:val="00721E3F"/>
    <w:rsid w:val="00721F45"/>
    <w:rsid w:val="0073312E"/>
    <w:rsid w:val="00733515"/>
    <w:rsid w:val="0073430D"/>
    <w:rsid w:val="00740E89"/>
    <w:rsid w:val="007645BB"/>
    <w:rsid w:val="00772B7C"/>
    <w:rsid w:val="00775814"/>
    <w:rsid w:val="0078285F"/>
    <w:rsid w:val="00784D58"/>
    <w:rsid w:val="007871B6"/>
    <w:rsid w:val="00792BD2"/>
    <w:rsid w:val="00795ECC"/>
    <w:rsid w:val="007B0B1D"/>
    <w:rsid w:val="007B6FF9"/>
    <w:rsid w:val="007C1B0C"/>
    <w:rsid w:val="007C4501"/>
    <w:rsid w:val="007D4544"/>
    <w:rsid w:val="007E0156"/>
    <w:rsid w:val="007E2D30"/>
    <w:rsid w:val="007E5052"/>
    <w:rsid w:val="007E7F5A"/>
    <w:rsid w:val="007F000A"/>
    <w:rsid w:val="007F1258"/>
    <w:rsid w:val="007F15F9"/>
    <w:rsid w:val="007F2B3D"/>
    <w:rsid w:val="007F3304"/>
    <w:rsid w:val="007F4D16"/>
    <w:rsid w:val="00801714"/>
    <w:rsid w:val="008111A4"/>
    <w:rsid w:val="008130FD"/>
    <w:rsid w:val="0081724B"/>
    <w:rsid w:val="008173C8"/>
    <w:rsid w:val="008200A3"/>
    <w:rsid w:val="0082073B"/>
    <w:rsid w:val="008221C5"/>
    <w:rsid w:val="008265F5"/>
    <w:rsid w:val="008274D5"/>
    <w:rsid w:val="00832FDA"/>
    <w:rsid w:val="008365BC"/>
    <w:rsid w:val="00844707"/>
    <w:rsid w:val="00847942"/>
    <w:rsid w:val="008514D4"/>
    <w:rsid w:val="00857AFA"/>
    <w:rsid w:val="00857E92"/>
    <w:rsid w:val="00862AF3"/>
    <w:rsid w:val="0086307C"/>
    <w:rsid w:val="00865784"/>
    <w:rsid w:val="00865F1C"/>
    <w:rsid w:val="00872587"/>
    <w:rsid w:val="00876925"/>
    <w:rsid w:val="00890C2F"/>
    <w:rsid w:val="008926E9"/>
    <w:rsid w:val="008A2E27"/>
    <w:rsid w:val="008A4DAA"/>
    <w:rsid w:val="008B1179"/>
    <w:rsid w:val="008B1DFF"/>
    <w:rsid w:val="008B1F47"/>
    <w:rsid w:val="008B33F8"/>
    <w:rsid w:val="008B4366"/>
    <w:rsid w:val="008C0809"/>
    <w:rsid w:val="008D0370"/>
    <w:rsid w:val="008D1542"/>
    <w:rsid w:val="008D16F2"/>
    <w:rsid w:val="008D60FB"/>
    <w:rsid w:val="008D6439"/>
    <w:rsid w:val="008E0AE6"/>
    <w:rsid w:val="008E3213"/>
    <w:rsid w:val="008F314A"/>
    <w:rsid w:val="008F5E3D"/>
    <w:rsid w:val="00913DA0"/>
    <w:rsid w:val="009339E1"/>
    <w:rsid w:val="00933AA8"/>
    <w:rsid w:val="00941515"/>
    <w:rsid w:val="00943E80"/>
    <w:rsid w:val="00944FA5"/>
    <w:rsid w:val="00953376"/>
    <w:rsid w:val="00956238"/>
    <w:rsid w:val="00962124"/>
    <w:rsid w:val="00962A90"/>
    <w:rsid w:val="00972224"/>
    <w:rsid w:val="00974E10"/>
    <w:rsid w:val="0098131B"/>
    <w:rsid w:val="00983855"/>
    <w:rsid w:val="00987E21"/>
    <w:rsid w:val="00996D07"/>
    <w:rsid w:val="009A59D5"/>
    <w:rsid w:val="009A6414"/>
    <w:rsid w:val="009B05D8"/>
    <w:rsid w:val="009B05F1"/>
    <w:rsid w:val="009B0CA7"/>
    <w:rsid w:val="009B6D2D"/>
    <w:rsid w:val="009D0814"/>
    <w:rsid w:val="009D23D6"/>
    <w:rsid w:val="009D6D77"/>
    <w:rsid w:val="009D7707"/>
    <w:rsid w:val="009E48CA"/>
    <w:rsid w:val="009F34A3"/>
    <w:rsid w:val="00A01FF5"/>
    <w:rsid w:val="00A04040"/>
    <w:rsid w:val="00A142E4"/>
    <w:rsid w:val="00A14465"/>
    <w:rsid w:val="00A1482A"/>
    <w:rsid w:val="00A16ABA"/>
    <w:rsid w:val="00A16AE2"/>
    <w:rsid w:val="00A24D1C"/>
    <w:rsid w:val="00A27120"/>
    <w:rsid w:val="00A30319"/>
    <w:rsid w:val="00A316E8"/>
    <w:rsid w:val="00A35EB6"/>
    <w:rsid w:val="00A36A53"/>
    <w:rsid w:val="00A50F40"/>
    <w:rsid w:val="00A51D83"/>
    <w:rsid w:val="00A5332B"/>
    <w:rsid w:val="00A615EE"/>
    <w:rsid w:val="00A65CA8"/>
    <w:rsid w:val="00A7460A"/>
    <w:rsid w:val="00A85B27"/>
    <w:rsid w:val="00A91D34"/>
    <w:rsid w:val="00A93473"/>
    <w:rsid w:val="00AA6AB7"/>
    <w:rsid w:val="00AB2C6C"/>
    <w:rsid w:val="00AB31C2"/>
    <w:rsid w:val="00AB7112"/>
    <w:rsid w:val="00AC4531"/>
    <w:rsid w:val="00AC695B"/>
    <w:rsid w:val="00AC71B9"/>
    <w:rsid w:val="00AD14E2"/>
    <w:rsid w:val="00AD1792"/>
    <w:rsid w:val="00AD6F0B"/>
    <w:rsid w:val="00AE4506"/>
    <w:rsid w:val="00AE5700"/>
    <w:rsid w:val="00AE604F"/>
    <w:rsid w:val="00AE6C6A"/>
    <w:rsid w:val="00AF173C"/>
    <w:rsid w:val="00B02BB1"/>
    <w:rsid w:val="00B04E40"/>
    <w:rsid w:val="00B06A24"/>
    <w:rsid w:val="00B179EA"/>
    <w:rsid w:val="00B25F5C"/>
    <w:rsid w:val="00B36226"/>
    <w:rsid w:val="00B5012E"/>
    <w:rsid w:val="00B61A7B"/>
    <w:rsid w:val="00B62EFA"/>
    <w:rsid w:val="00B63704"/>
    <w:rsid w:val="00B64617"/>
    <w:rsid w:val="00B648B8"/>
    <w:rsid w:val="00B6680E"/>
    <w:rsid w:val="00B70190"/>
    <w:rsid w:val="00B83FA5"/>
    <w:rsid w:val="00B86B7F"/>
    <w:rsid w:val="00B912DD"/>
    <w:rsid w:val="00BA5687"/>
    <w:rsid w:val="00BB0B4A"/>
    <w:rsid w:val="00BC1F75"/>
    <w:rsid w:val="00BC3D97"/>
    <w:rsid w:val="00BD7355"/>
    <w:rsid w:val="00BE14DD"/>
    <w:rsid w:val="00BE7CBF"/>
    <w:rsid w:val="00BF1849"/>
    <w:rsid w:val="00BF4B07"/>
    <w:rsid w:val="00BF71E1"/>
    <w:rsid w:val="00C000E6"/>
    <w:rsid w:val="00C209AC"/>
    <w:rsid w:val="00C2213E"/>
    <w:rsid w:val="00C250B5"/>
    <w:rsid w:val="00C3065E"/>
    <w:rsid w:val="00C35941"/>
    <w:rsid w:val="00C3795E"/>
    <w:rsid w:val="00C37FAC"/>
    <w:rsid w:val="00C523E8"/>
    <w:rsid w:val="00C533B6"/>
    <w:rsid w:val="00C5405E"/>
    <w:rsid w:val="00C678C2"/>
    <w:rsid w:val="00C74556"/>
    <w:rsid w:val="00C75208"/>
    <w:rsid w:val="00C772E6"/>
    <w:rsid w:val="00C8449C"/>
    <w:rsid w:val="00C87413"/>
    <w:rsid w:val="00C9351B"/>
    <w:rsid w:val="00CA59C6"/>
    <w:rsid w:val="00CC16DF"/>
    <w:rsid w:val="00CD57C6"/>
    <w:rsid w:val="00CD5C21"/>
    <w:rsid w:val="00CE2B16"/>
    <w:rsid w:val="00CE5752"/>
    <w:rsid w:val="00CE7DB9"/>
    <w:rsid w:val="00D052A7"/>
    <w:rsid w:val="00D0772B"/>
    <w:rsid w:val="00D12E9B"/>
    <w:rsid w:val="00D17720"/>
    <w:rsid w:val="00D17B43"/>
    <w:rsid w:val="00D3009F"/>
    <w:rsid w:val="00D42D61"/>
    <w:rsid w:val="00D44E51"/>
    <w:rsid w:val="00D51780"/>
    <w:rsid w:val="00D5297A"/>
    <w:rsid w:val="00D61BF7"/>
    <w:rsid w:val="00D73AD2"/>
    <w:rsid w:val="00D75B01"/>
    <w:rsid w:val="00D77F0E"/>
    <w:rsid w:val="00D85D17"/>
    <w:rsid w:val="00D90CA9"/>
    <w:rsid w:val="00D92F97"/>
    <w:rsid w:val="00D95ACB"/>
    <w:rsid w:val="00DA4E09"/>
    <w:rsid w:val="00DA5E3B"/>
    <w:rsid w:val="00DA687B"/>
    <w:rsid w:val="00DB0175"/>
    <w:rsid w:val="00DB63CA"/>
    <w:rsid w:val="00DC7714"/>
    <w:rsid w:val="00DC7994"/>
    <w:rsid w:val="00DD1DBD"/>
    <w:rsid w:val="00DD6536"/>
    <w:rsid w:val="00DE6A24"/>
    <w:rsid w:val="00DE7930"/>
    <w:rsid w:val="00DF0ED1"/>
    <w:rsid w:val="00DF2A2B"/>
    <w:rsid w:val="00DF4426"/>
    <w:rsid w:val="00DF50D8"/>
    <w:rsid w:val="00DF5EDB"/>
    <w:rsid w:val="00DF6954"/>
    <w:rsid w:val="00DF7345"/>
    <w:rsid w:val="00E02A36"/>
    <w:rsid w:val="00E03D86"/>
    <w:rsid w:val="00E05869"/>
    <w:rsid w:val="00E076F3"/>
    <w:rsid w:val="00E10C87"/>
    <w:rsid w:val="00E14535"/>
    <w:rsid w:val="00E22287"/>
    <w:rsid w:val="00E2747D"/>
    <w:rsid w:val="00E32B6D"/>
    <w:rsid w:val="00E35E56"/>
    <w:rsid w:val="00E4320A"/>
    <w:rsid w:val="00E5294E"/>
    <w:rsid w:val="00E55BFB"/>
    <w:rsid w:val="00E56BDD"/>
    <w:rsid w:val="00E5784B"/>
    <w:rsid w:val="00E66095"/>
    <w:rsid w:val="00E67479"/>
    <w:rsid w:val="00E70E74"/>
    <w:rsid w:val="00E85A7A"/>
    <w:rsid w:val="00E86617"/>
    <w:rsid w:val="00E86F34"/>
    <w:rsid w:val="00EA4456"/>
    <w:rsid w:val="00EA60C2"/>
    <w:rsid w:val="00EB4263"/>
    <w:rsid w:val="00EB45D9"/>
    <w:rsid w:val="00EC334C"/>
    <w:rsid w:val="00EE02AA"/>
    <w:rsid w:val="00EF1BD2"/>
    <w:rsid w:val="00F1228A"/>
    <w:rsid w:val="00F14223"/>
    <w:rsid w:val="00F144D3"/>
    <w:rsid w:val="00F14BE5"/>
    <w:rsid w:val="00F172C4"/>
    <w:rsid w:val="00F25613"/>
    <w:rsid w:val="00F30327"/>
    <w:rsid w:val="00F3050E"/>
    <w:rsid w:val="00F3468E"/>
    <w:rsid w:val="00F40A29"/>
    <w:rsid w:val="00F47CEB"/>
    <w:rsid w:val="00F6382C"/>
    <w:rsid w:val="00F74DE3"/>
    <w:rsid w:val="00F76D78"/>
    <w:rsid w:val="00F80862"/>
    <w:rsid w:val="00F84AFF"/>
    <w:rsid w:val="00F870CF"/>
    <w:rsid w:val="00FA349F"/>
    <w:rsid w:val="00FB017B"/>
    <w:rsid w:val="00FB3542"/>
    <w:rsid w:val="00FB4B91"/>
    <w:rsid w:val="00FC3491"/>
    <w:rsid w:val="00FC54D6"/>
    <w:rsid w:val="00FC67E2"/>
    <w:rsid w:val="00FC70A7"/>
    <w:rsid w:val="00FC72A0"/>
    <w:rsid w:val="00FD22A0"/>
    <w:rsid w:val="00FD25EC"/>
    <w:rsid w:val="00FD3FC3"/>
    <w:rsid w:val="00FE210E"/>
    <w:rsid w:val="00FF3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7240"/>
    <w:rPr>
      <w:color w:val="808080"/>
    </w:rPr>
  </w:style>
  <w:style w:type="paragraph" w:styleId="BalloonText">
    <w:name w:val="Balloon Text"/>
    <w:basedOn w:val="Normal"/>
    <w:link w:val="BalloonTextChar"/>
    <w:uiPriority w:val="99"/>
    <w:semiHidden/>
    <w:unhideWhenUsed/>
    <w:rsid w:val="00607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240"/>
    <w:rPr>
      <w:rFonts w:ascii="Tahoma" w:hAnsi="Tahoma" w:cs="Tahoma"/>
      <w:sz w:val="16"/>
      <w:szCs w:val="16"/>
    </w:rPr>
  </w:style>
  <w:style w:type="character" w:styleId="Hyperlink">
    <w:name w:val="Hyperlink"/>
    <w:basedOn w:val="DefaultParagraphFont"/>
    <w:uiPriority w:val="99"/>
    <w:unhideWhenUsed/>
    <w:rsid w:val="0038650A"/>
    <w:rPr>
      <w:color w:val="0000FF"/>
      <w:u w:val="single"/>
    </w:rPr>
  </w:style>
  <w:style w:type="table" w:styleId="TableGrid">
    <w:name w:val="Table Grid"/>
    <w:basedOn w:val="TableNormal"/>
    <w:uiPriority w:val="59"/>
    <w:rsid w:val="0038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3865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uiPriority w:val="99"/>
    <w:semiHidden/>
    <w:unhideWhenUsed/>
    <w:rsid w:val="00AB2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2C6C"/>
    <w:rPr>
      <w:sz w:val="20"/>
      <w:szCs w:val="20"/>
    </w:rPr>
  </w:style>
  <w:style w:type="character" w:styleId="FootnoteReference">
    <w:name w:val="footnote reference"/>
    <w:basedOn w:val="DefaultParagraphFont"/>
    <w:uiPriority w:val="99"/>
    <w:semiHidden/>
    <w:unhideWhenUsed/>
    <w:rsid w:val="00AB2C6C"/>
    <w:rPr>
      <w:vertAlign w:val="superscript"/>
    </w:rPr>
  </w:style>
  <w:style w:type="table" w:styleId="LightShading-Accent3">
    <w:name w:val="Light Shading Accent 3"/>
    <w:basedOn w:val="TableNormal"/>
    <w:uiPriority w:val="60"/>
    <w:rsid w:val="009533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DC7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C7994"/>
  </w:style>
  <w:style w:type="paragraph" w:customStyle="1" w:styleId="Default">
    <w:name w:val="Default"/>
    <w:rsid w:val="00404C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76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4D2"/>
  </w:style>
  <w:style w:type="paragraph" w:styleId="Footer">
    <w:name w:val="footer"/>
    <w:basedOn w:val="Normal"/>
    <w:link w:val="FooterChar"/>
    <w:uiPriority w:val="99"/>
    <w:unhideWhenUsed/>
    <w:rsid w:val="00676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4D2"/>
  </w:style>
  <w:style w:type="table" w:styleId="LightGrid-Accent3">
    <w:name w:val="Light Grid Accent 3"/>
    <w:basedOn w:val="TableNormal"/>
    <w:uiPriority w:val="62"/>
    <w:rsid w:val="00721F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5">
    <w:name w:val="Light List Accent 5"/>
    <w:basedOn w:val="TableNormal"/>
    <w:uiPriority w:val="61"/>
    <w:rsid w:val="00E55B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3">
    <w:name w:val="Medium List 2 Accent 3"/>
    <w:basedOn w:val="TableNormal"/>
    <w:uiPriority w:val="66"/>
    <w:rsid w:val="00E55B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C0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0C0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0C0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C540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2">
    <w:name w:val="Light Grid Accent 2"/>
    <w:basedOn w:val="TableNormal"/>
    <w:uiPriority w:val="62"/>
    <w:rsid w:val="00C540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2">
    <w:name w:val="Medium Grid 2"/>
    <w:basedOn w:val="TableNormal"/>
    <w:uiPriority w:val="68"/>
    <w:rsid w:val="002B2B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B2B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2B2B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2B2B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862AF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2">
    <w:name w:val="Medium List 2"/>
    <w:basedOn w:val="TableNormal"/>
    <w:uiPriority w:val="66"/>
    <w:rsid w:val="004E1C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4E1C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FA34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6">
    <w:name w:val="Medium Grid 2 Accent 6"/>
    <w:basedOn w:val="TableNormal"/>
    <w:uiPriority w:val="68"/>
    <w:rsid w:val="00FA34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List1-Accent3">
    <w:name w:val="Medium List 1 Accent 3"/>
    <w:basedOn w:val="TableNormal"/>
    <w:uiPriority w:val="65"/>
    <w:rsid w:val="00FA349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
    <w:name w:val="Medium List 1"/>
    <w:basedOn w:val="TableNormal"/>
    <w:uiPriority w:val="65"/>
    <w:rsid w:val="00FA34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740E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433DBC"/>
    <w:pPr>
      <w:ind w:left="720"/>
      <w:contextualSpacing/>
    </w:pPr>
  </w:style>
  <w:style w:type="table" w:styleId="LightShading-Accent1">
    <w:name w:val="Light Shading Accent 1"/>
    <w:basedOn w:val="TableNormal"/>
    <w:uiPriority w:val="60"/>
    <w:rsid w:val="009D23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5D38A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38AA"/>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7240"/>
    <w:rPr>
      <w:color w:val="808080"/>
    </w:rPr>
  </w:style>
  <w:style w:type="paragraph" w:styleId="BalloonText">
    <w:name w:val="Balloon Text"/>
    <w:basedOn w:val="Normal"/>
    <w:link w:val="BalloonTextChar"/>
    <w:uiPriority w:val="99"/>
    <w:semiHidden/>
    <w:unhideWhenUsed/>
    <w:rsid w:val="006072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240"/>
    <w:rPr>
      <w:rFonts w:ascii="Tahoma" w:hAnsi="Tahoma" w:cs="Tahoma"/>
      <w:sz w:val="16"/>
      <w:szCs w:val="16"/>
    </w:rPr>
  </w:style>
  <w:style w:type="character" w:styleId="Hyperlink">
    <w:name w:val="Hyperlink"/>
    <w:basedOn w:val="DefaultParagraphFont"/>
    <w:uiPriority w:val="99"/>
    <w:unhideWhenUsed/>
    <w:rsid w:val="0038650A"/>
    <w:rPr>
      <w:color w:val="0000FF"/>
      <w:u w:val="single"/>
    </w:rPr>
  </w:style>
  <w:style w:type="table" w:styleId="TableGrid">
    <w:name w:val="Table Grid"/>
    <w:basedOn w:val="TableNormal"/>
    <w:uiPriority w:val="59"/>
    <w:rsid w:val="00386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3865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noteText">
    <w:name w:val="footnote text"/>
    <w:basedOn w:val="Normal"/>
    <w:link w:val="FootnoteTextChar"/>
    <w:uiPriority w:val="99"/>
    <w:semiHidden/>
    <w:unhideWhenUsed/>
    <w:rsid w:val="00AB2C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2C6C"/>
    <w:rPr>
      <w:sz w:val="20"/>
      <w:szCs w:val="20"/>
    </w:rPr>
  </w:style>
  <w:style w:type="character" w:styleId="FootnoteReference">
    <w:name w:val="footnote reference"/>
    <w:basedOn w:val="DefaultParagraphFont"/>
    <w:uiPriority w:val="99"/>
    <w:semiHidden/>
    <w:unhideWhenUsed/>
    <w:rsid w:val="00AB2C6C"/>
    <w:rPr>
      <w:vertAlign w:val="superscript"/>
    </w:rPr>
  </w:style>
  <w:style w:type="table" w:styleId="LightShading-Accent3">
    <w:name w:val="Light Shading Accent 3"/>
    <w:basedOn w:val="TableNormal"/>
    <w:uiPriority w:val="60"/>
    <w:rsid w:val="00953376"/>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unhideWhenUsed/>
    <w:rsid w:val="00DC799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C7994"/>
  </w:style>
  <w:style w:type="paragraph" w:customStyle="1" w:styleId="Default">
    <w:name w:val="Default"/>
    <w:rsid w:val="00404C9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676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4D2"/>
  </w:style>
  <w:style w:type="paragraph" w:styleId="Footer">
    <w:name w:val="footer"/>
    <w:basedOn w:val="Normal"/>
    <w:link w:val="FooterChar"/>
    <w:uiPriority w:val="99"/>
    <w:unhideWhenUsed/>
    <w:rsid w:val="00676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4D2"/>
  </w:style>
  <w:style w:type="table" w:styleId="LightGrid-Accent3">
    <w:name w:val="Light Grid Accent 3"/>
    <w:basedOn w:val="TableNormal"/>
    <w:uiPriority w:val="62"/>
    <w:rsid w:val="00721F4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5">
    <w:name w:val="Light List Accent 5"/>
    <w:basedOn w:val="TableNormal"/>
    <w:uiPriority w:val="61"/>
    <w:rsid w:val="00E55B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3">
    <w:name w:val="Medium List 2 Accent 3"/>
    <w:basedOn w:val="TableNormal"/>
    <w:uiPriority w:val="66"/>
    <w:rsid w:val="00E55B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0C0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0C0D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0C0D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2">
    <w:name w:val="Medium List 2 Accent 2"/>
    <w:basedOn w:val="TableNormal"/>
    <w:uiPriority w:val="66"/>
    <w:rsid w:val="00C540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2">
    <w:name w:val="Light Grid Accent 2"/>
    <w:basedOn w:val="TableNormal"/>
    <w:uiPriority w:val="62"/>
    <w:rsid w:val="00C540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2">
    <w:name w:val="Medium Grid 2"/>
    <w:basedOn w:val="TableNormal"/>
    <w:uiPriority w:val="68"/>
    <w:rsid w:val="002B2B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B2B1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5">
    <w:name w:val="Light Grid Accent 5"/>
    <w:basedOn w:val="TableNormal"/>
    <w:uiPriority w:val="62"/>
    <w:rsid w:val="002B2B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2B2B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4">
    <w:name w:val="Light Shading Accent 4"/>
    <w:basedOn w:val="TableNormal"/>
    <w:uiPriority w:val="60"/>
    <w:rsid w:val="00862AF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2">
    <w:name w:val="Medium List 2"/>
    <w:basedOn w:val="TableNormal"/>
    <w:uiPriority w:val="66"/>
    <w:rsid w:val="004E1C5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4E1C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
    <w:name w:val="Light Shading"/>
    <w:basedOn w:val="TableNormal"/>
    <w:uiPriority w:val="60"/>
    <w:rsid w:val="00FA349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2-Accent6">
    <w:name w:val="Medium Grid 2 Accent 6"/>
    <w:basedOn w:val="TableNormal"/>
    <w:uiPriority w:val="68"/>
    <w:rsid w:val="00FA349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List1-Accent3">
    <w:name w:val="Medium List 1 Accent 3"/>
    <w:basedOn w:val="TableNormal"/>
    <w:uiPriority w:val="65"/>
    <w:rsid w:val="00FA349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
    <w:name w:val="Medium List 1"/>
    <w:basedOn w:val="TableNormal"/>
    <w:uiPriority w:val="65"/>
    <w:rsid w:val="00FA349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Accent1">
    <w:name w:val="Medium List 2 Accent 1"/>
    <w:basedOn w:val="TableNormal"/>
    <w:uiPriority w:val="66"/>
    <w:rsid w:val="00740E8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433DBC"/>
    <w:pPr>
      <w:ind w:left="720"/>
      <w:contextualSpacing/>
    </w:pPr>
  </w:style>
  <w:style w:type="table" w:styleId="LightShading-Accent1">
    <w:name w:val="Light Shading Accent 1"/>
    <w:basedOn w:val="TableNormal"/>
    <w:uiPriority w:val="60"/>
    <w:rsid w:val="009D23D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Spacing">
    <w:name w:val="No Spacing"/>
    <w:link w:val="NoSpacingChar"/>
    <w:uiPriority w:val="1"/>
    <w:qFormat/>
    <w:rsid w:val="005D38A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D38AA"/>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298">
      <w:bodyDiv w:val="1"/>
      <w:marLeft w:val="0"/>
      <w:marRight w:val="0"/>
      <w:marTop w:val="0"/>
      <w:marBottom w:val="0"/>
      <w:divBdr>
        <w:top w:val="none" w:sz="0" w:space="0" w:color="auto"/>
        <w:left w:val="none" w:sz="0" w:space="0" w:color="auto"/>
        <w:bottom w:val="none" w:sz="0" w:space="0" w:color="auto"/>
        <w:right w:val="none" w:sz="0" w:space="0" w:color="auto"/>
      </w:divBdr>
    </w:div>
    <w:div w:id="111631127">
      <w:bodyDiv w:val="1"/>
      <w:marLeft w:val="0"/>
      <w:marRight w:val="0"/>
      <w:marTop w:val="0"/>
      <w:marBottom w:val="0"/>
      <w:divBdr>
        <w:top w:val="none" w:sz="0" w:space="0" w:color="auto"/>
        <w:left w:val="none" w:sz="0" w:space="0" w:color="auto"/>
        <w:bottom w:val="none" w:sz="0" w:space="0" w:color="auto"/>
        <w:right w:val="none" w:sz="0" w:space="0" w:color="auto"/>
      </w:divBdr>
    </w:div>
    <w:div w:id="159851789">
      <w:bodyDiv w:val="1"/>
      <w:marLeft w:val="0"/>
      <w:marRight w:val="0"/>
      <w:marTop w:val="0"/>
      <w:marBottom w:val="0"/>
      <w:divBdr>
        <w:top w:val="none" w:sz="0" w:space="0" w:color="auto"/>
        <w:left w:val="none" w:sz="0" w:space="0" w:color="auto"/>
        <w:bottom w:val="none" w:sz="0" w:space="0" w:color="auto"/>
        <w:right w:val="none" w:sz="0" w:space="0" w:color="auto"/>
      </w:divBdr>
    </w:div>
    <w:div w:id="374550895">
      <w:bodyDiv w:val="1"/>
      <w:marLeft w:val="0"/>
      <w:marRight w:val="0"/>
      <w:marTop w:val="0"/>
      <w:marBottom w:val="0"/>
      <w:divBdr>
        <w:top w:val="none" w:sz="0" w:space="0" w:color="auto"/>
        <w:left w:val="none" w:sz="0" w:space="0" w:color="auto"/>
        <w:bottom w:val="none" w:sz="0" w:space="0" w:color="auto"/>
        <w:right w:val="none" w:sz="0" w:space="0" w:color="auto"/>
      </w:divBdr>
    </w:div>
    <w:div w:id="441386713">
      <w:bodyDiv w:val="1"/>
      <w:marLeft w:val="0"/>
      <w:marRight w:val="0"/>
      <w:marTop w:val="0"/>
      <w:marBottom w:val="0"/>
      <w:divBdr>
        <w:top w:val="none" w:sz="0" w:space="0" w:color="auto"/>
        <w:left w:val="none" w:sz="0" w:space="0" w:color="auto"/>
        <w:bottom w:val="none" w:sz="0" w:space="0" w:color="auto"/>
        <w:right w:val="none" w:sz="0" w:space="0" w:color="auto"/>
      </w:divBdr>
    </w:div>
    <w:div w:id="515580031">
      <w:bodyDiv w:val="1"/>
      <w:marLeft w:val="0"/>
      <w:marRight w:val="0"/>
      <w:marTop w:val="0"/>
      <w:marBottom w:val="0"/>
      <w:divBdr>
        <w:top w:val="none" w:sz="0" w:space="0" w:color="auto"/>
        <w:left w:val="none" w:sz="0" w:space="0" w:color="auto"/>
        <w:bottom w:val="none" w:sz="0" w:space="0" w:color="auto"/>
        <w:right w:val="none" w:sz="0" w:space="0" w:color="auto"/>
      </w:divBdr>
    </w:div>
    <w:div w:id="572589073">
      <w:bodyDiv w:val="1"/>
      <w:marLeft w:val="0"/>
      <w:marRight w:val="0"/>
      <w:marTop w:val="0"/>
      <w:marBottom w:val="0"/>
      <w:divBdr>
        <w:top w:val="none" w:sz="0" w:space="0" w:color="auto"/>
        <w:left w:val="none" w:sz="0" w:space="0" w:color="auto"/>
        <w:bottom w:val="none" w:sz="0" w:space="0" w:color="auto"/>
        <w:right w:val="none" w:sz="0" w:space="0" w:color="auto"/>
      </w:divBdr>
    </w:div>
    <w:div w:id="808012823">
      <w:bodyDiv w:val="1"/>
      <w:marLeft w:val="0"/>
      <w:marRight w:val="0"/>
      <w:marTop w:val="0"/>
      <w:marBottom w:val="0"/>
      <w:divBdr>
        <w:top w:val="none" w:sz="0" w:space="0" w:color="auto"/>
        <w:left w:val="none" w:sz="0" w:space="0" w:color="auto"/>
        <w:bottom w:val="none" w:sz="0" w:space="0" w:color="auto"/>
        <w:right w:val="none" w:sz="0" w:space="0" w:color="auto"/>
      </w:divBdr>
    </w:div>
    <w:div w:id="876626892">
      <w:bodyDiv w:val="1"/>
      <w:marLeft w:val="0"/>
      <w:marRight w:val="0"/>
      <w:marTop w:val="0"/>
      <w:marBottom w:val="0"/>
      <w:divBdr>
        <w:top w:val="none" w:sz="0" w:space="0" w:color="auto"/>
        <w:left w:val="none" w:sz="0" w:space="0" w:color="auto"/>
        <w:bottom w:val="none" w:sz="0" w:space="0" w:color="auto"/>
        <w:right w:val="none" w:sz="0" w:space="0" w:color="auto"/>
      </w:divBdr>
    </w:div>
    <w:div w:id="938372760">
      <w:bodyDiv w:val="1"/>
      <w:marLeft w:val="0"/>
      <w:marRight w:val="0"/>
      <w:marTop w:val="0"/>
      <w:marBottom w:val="0"/>
      <w:divBdr>
        <w:top w:val="none" w:sz="0" w:space="0" w:color="auto"/>
        <w:left w:val="none" w:sz="0" w:space="0" w:color="auto"/>
        <w:bottom w:val="none" w:sz="0" w:space="0" w:color="auto"/>
        <w:right w:val="none" w:sz="0" w:space="0" w:color="auto"/>
      </w:divBdr>
    </w:div>
    <w:div w:id="950623441">
      <w:bodyDiv w:val="1"/>
      <w:marLeft w:val="0"/>
      <w:marRight w:val="0"/>
      <w:marTop w:val="0"/>
      <w:marBottom w:val="0"/>
      <w:divBdr>
        <w:top w:val="none" w:sz="0" w:space="0" w:color="auto"/>
        <w:left w:val="none" w:sz="0" w:space="0" w:color="auto"/>
        <w:bottom w:val="none" w:sz="0" w:space="0" w:color="auto"/>
        <w:right w:val="none" w:sz="0" w:space="0" w:color="auto"/>
      </w:divBdr>
    </w:div>
    <w:div w:id="1027874375">
      <w:bodyDiv w:val="1"/>
      <w:marLeft w:val="0"/>
      <w:marRight w:val="0"/>
      <w:marTop w:val="0"/>
      <w:marBottom w:val="0"/>
      <w:divBdr>
        <w:top w:val="none" w:sz="0" w:space="0" w:color="auto"/>
        <w:left w:val="none" w:sz="0" w:space="0" w:color="auto"/>
        <w:bottom w:val="none" w:sz="0" w:space="0" w:color="auto"/>
        <w:right w:val="none" w:sz="0" w:space="0" w:color="auto"/>
      </w:divBdr>
    </w:div>
    <w:div w:id="1089158066">
      <w:bodyDiv w:val="1"/>
      <w:marLeft w:val="0"/>
      <w:marRight w:val="0"/>
      <w:marTop w:val="0"/>
      <w:marBottom w:val="0"/>
      <w:divBdr>
        <w:top w:val="none" w:sz="0" w:space="0" w:color="auto"/>
        <w:left w:val="none" w:sz="0" w:space="0" w:color="auto"/>
        <w:bottom w:val="none" w:sz="0" w:space="0" w:color="auto"/>
        <w:right w:val="none" w:sz="0" w:space="0" w:color="auto"/>
      </w:divBdr>
    </w:div>
    <w:div w:id="1477382197">
      <w:bodyDiv w:val="1"/>
      <w:marLeft w:val="0"/>
      <w:marRight w:val="0"/>
      <w:marTop w:val="0"/>
      <w:marBottom w:val="0"/>
      <w:divBdr>
        <w:top w:val="none" w:sz="0" w:space="0" w:color="auto"/>
        <w:left w:val="none" w:sz="0" w:space="0" w:color="auto"/>
        <w:bottom w:val="none" w:sz="0" w:space="0" w:color="auto"/>
        <w:right w:val="none" w:sz="0" w:space="0" w:color="auto"/>
      </w:divBdr>
    </w:div>
    <w:div w:id="1693460526">
      <w:bodyDiv w:val="1"/>
      <w:marLeft w:val="0"/>
      <w:marRight w:val="0"/>
      <w:marTop w:val="0"/>
      <w:marBottom w:val="0"/>
      <w:divBdr>
        <w:top w:val="none" w:sz="0" w:space="0" w:color="auto"/>
        <w:left w:val="none" w:sz="0" w:space="0" w:color="auto"/>
        <w:bottom w:val="none" w:sz="0" w:space="0" w:color="auto"/>
        <w:right w:val="none" w:sz="0" w:space="0" w:color="auto"/>
      </w:divBdr>
    </w:div>
    <w:div w:id="1993637054">
      <w:bodyDiv w:val="1"/>
      <w:marLeft w:val="0"/>
      <w:marRight w:val="0"/>
      <w:marTop w:val="0"/>
      <w:marBottom w:val="0"/>
      <w:divBdr>
        <w:top w:val="none" w:sz="0" w:space="0" w:color="auto"/>
        <w:left w:val="none" w:sz="0" w:space="0" w:color="auto"/>
        <w:bottom w:val="none" w:sz="0" w:space="0" w:color="auto"/>
        <w:right w:val="none" w:sz="0" w:space="0" w:color="auto"/>
      </w:divBdr>
    </w:div>
    <w:div w:id="204112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radingeconomics.com/armenia/core-inflation-rate" TargetMode="External"/><Relationship Id="rId18" Type="http://schemas.openxmlformats.org/officeDocument/2006/relationships/chart" Target="charts/chart7.xml"/><Relationship Id="rId26" Type="http://schemas.openxmlformats.org/officeDocument/2006/relationships/hyperlink" Target="https://ideas.repec.org/p/nbr/nberwo/7389.html" TargetMode="Externa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image" Target="media/image5.tif"/><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hyperlink" Target="http://ideas.repec.org/s/eee/jeeman.html" TargetMode="External"/><Relationship Id="rId33" Type="http://schemas.openxmlformats.org/officeDocument/2006/relationships/image" Target="media/image4.tif"/><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hyperlink" Target="http://ideas.repec.org/a/eee/jeeman/v55y2008i3p248-264.html" TargetMode="External"/><Relationship Id="rId32" Type="http://schemas.openxmlformats.org/officeDocument/2006/relationships/image" Target="media/image3.tif"/><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3.xm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chart" Target="charts/chart8.xml"/><Relationship Id="rId31" Type="http://schemas.openxmlformats.org/officeDocument/2006/relationships/image" Target="media/image2.t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https://www.cia.gov/library/publications/the-world-factbook/rankorder/rankorderguide.html" TargetMode="External"/><Relationship Id="rId30" Type="http://schemas.openxmlformats.org/officeDocument/2006/relationships/chart" Target="charts/chart15.xml"/><Relationship Id="rId35"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pi\My%20Studies\Master\Research%20Seminare\dutch%20disease\research\11.%20EER-quarterly.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pi\My%20Studies\Master\Research%20Seminare\dutch%20disease\Mining%20contribution\fd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rpi\My%20Studies\Master\Research%20Seminare\DD\Data\annual%20re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annual%20re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pi\Downloads\fb018e24-0e79-4e9e-bb2f-85886cd87386.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mining_data_armstat_wag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annual%20mining.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inflation,%20fd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inflation,%20fd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pi\Downloads\inflation_eng.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manufactor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rpi\My%20Studies\Master\Research%20Seminare\DD\Diagnostics\mining_data_armstat_wag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rpi\Downloads\9948212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rpi\My%20Studies\Master\Research%20Seminare\dutch%20disease\Mining%20contribution\total%20industry%20by%20sector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rpi\My%20Studies\Master\Research%20Seminare\dutch%20disease\Mining%20contribution\mining_panel_data_new.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Real Effective Exchange Rate in Armenia </a:t>
            </a:r>
          </a:p>
        </c:rich>
      </c:tx>
      <c:overlay val="0"/>
    </c:title>
    <c:autoTitleDeleted val="0"/>
    <c:plotArea>
      <c:layout/>
      <c:lineChart>
        <c:grouping val="standard"/>
        <c:varyColors val="0"/>
        <c:ser>
          <c:idx val="0"/>
          <c:order val="0"/>
          <c:tx>
            <c:strRef>
              <c:f>Quarterly!$A$5</c:f>
              <c:strCache>
                <c:ptCount val="1"/>
                <c:pt idx="0">
                  <c:v>REER </c:v>
                </c:pt>
              </c:strCache>
            </c:strRef>
          </c:tx>
          <c:marker>
            <c:symbol val="none"/>
          </c:marker>
          <c:cat>
            <c:strRef>
              <c:f>Quarterly!$A$4:$BS$4</c:f>
              <c:strCache>
                <c:ptCount val="71"/>
                <c:pt idx="0">
                  <c:v>quarters</c:v>
                </c:pt>
                <c:pt idx="1">
                  <c:v>I-97</c:v>
                </c:pt>
                <c:pt idx="2">
                  <c:v>II-97</c:v>
                </c:pt>
                <c:pt idx="3">
                  <c:v>III-97</c:v>
                </c:pt>
                <c:pt idx="4">
                  <c:v>IV-97</c:v>
                </c:pt>
                <c:pt idx="5">
                  <c:v>I-98</c:v>
                </c:pt>
                <c:pt idx="6">
                  <c:v>II-98</c:v>
                </c:pt>
                <c:pt idx="7">
                  <c:v>III-98</c:v>
                </c:pt>
                <c:pt idx="8">
                  <c:v>IV-98</c:v>
                </c:pt>
                <c:pt idx="9">
                  <c:v>I-99</c:v>
                </c:pt>
                <c:pt idx="10">
                  <c:v>II-99</c:v>
                </c:pt>
                <c:pt idx="11">
                  <c:v>III-99</c:v>
                </c:pt>
                <c:pt idx="12">
                  <c:v>IV-99</c:v>
                </c:pt>
                <c:pt idx="13">
                  <c:v>I-00</c:v>
                </c:pt>
                <c:pt idx="14">
                  <c:v>II-00</c:v>
                </c:pt>
                <c:pt idx="15">
                  <c:v>III-00</c:v>
                </c:pt>
                <c:pt idx="16">
                  <c:v>IV-00</c:v>
                </c:pt>
                <c:pt idx="17">
                  <c:v>I-01</c:v>
                </c:pt>
                <c:pt idx="18">
                  <c:v>II-01</c:v>
                </c:pt>
                <c:pt idx="19">
                  <c:v>III-01</c:v>
                </c:pt>
                <c:pt idx="20">
                  <c:v>IV-01</c:v>
                </c:pt>
                <c:pt idx="21">
                  <c:v>I-02</c:v>
                </c:pt>
                <c:pt idx="22">
                  <c:v>II-02</c:v>
                </c:pt>
                <c:pt idx="23">
                  <c:v>III-02</c:v>
                </c:pt>
                <c:pt idx="24">
                  <c:v>IV-02</c:v>
                </c:pt>
                <c:pt idx="25">
                  <c:v>I-03</c:v>
                </c:pt>
                <c:pt idx="26">
                  <c:v>II-03</c:v>
                </c:pt>
                <c:pt idx="27">
                  <c:v>III-03</c:v>
                </c:pt>
                <c:pt idx="28">
                  <c:v>IV-03</c:v>
                </c:pt>
                <c:pt idx="29">
                  <c:v>I-04</c:v>
                </c:pt>
                <c:pt idx="30">
                  <c:v>II-04</c:v>
                </c:pt>
                <c:pt idx="31">
                  <c:v>III-04</c:v>
                </c:pt>
                <c:pt idx="32">
                  <c:v>IV-04</c:v>
                </c:pt>
                <c:pt idx="33">
                  <c:v>I-05</c:v>
                </c:pt>
                <c:pt idx="34">
                  <c:v>II-05</c:v>
                </c:pt>
                <c:pt idx="35">
                  <c:v>III-05</c:v>
                </c:pt>
                <c:pt idx="36">
                  <c:v>IV-05</c:v>
                </c:pt>
                <c:pt idx="37">
                  <c:v>I-06</c:v>
                </c:pt>
                <c:pt idx="38">
                  <c:v>II-06</c:v>
                </c:pt>
                <c:pt idx="39">
                  <c:v>III-06</c:v>
                </c:pt>
                <c:pt idx="40">
                  <c:v>IV-06</c:v>
                </c:pt>
                <c:pt idx="41">
                  <c:v>I-07</c:v>
                </c:pt>
                <c:pt idx="42">
                  <c:v>II-07</c:v>
                </c:pt>
                <c:pt idx="43">
                  <c:v>III-07</c:v>
                </c:pt>
                <c:pt idx="44">
                  <c:v>IV-07</c:v>
                </c:pt>
                <c:pt idx="45">
                  <c:v>I-08</c:v>
                </c:pt>
                <c:pt idx="46">
                  <c:v>II-08</c:v>
                </c:pt>
                <c:pt idx="47">
                  <c:v>III-08</c:v>
                </c:pt>
                <c:pt idx="48">
                  <c:v>IV-08</c:v>
                </c:pt>
                <c:pt idx="49">
                  <c:v>I-09</c:v>
                </c:pt>
                <c:pt idx="50">
                  <c:v>II-09</c:v>
                </c:pt>
                <c:pt idx="51">
                  <c:v>III-09</c:v>
                </c:pt>
                <c:pt idx="52">
                  <c:v>IV-09</c:v>
                </c:pt>
                <c:pt idx="53">
                  <c:v>I-10</c:v>
                </c:pt>
                <c:pt idx="54">
                  <c:v>II-10</c:v>
                </c:pt>
                <c:pt idx="55">
                  <c:v>III-10</c:v>
                </c:pt>
                <c:pt idx="56">
                  <c:v>IV-10</c:v>
                </c:pt>
                <c:pt idx="57">
                  <c:v>I-11</c:v>
                </c:pt>
                <c:pt idx="58">
                  <c:v>II-11</c:v>
                </c:pt>
                <c:pt idx="59">
                  <c:v>III-11</c:v>
                </c:pt>
                <c:pt idx="60">
                  <c:v>IV-11</c:v>
                </c:pt>
                <c:pt idx="61">
                  <c:v>I-12</c:v>
                </c:pt>
                <c:pt idx="62">
                  <c:v>II-12</c:v>
                </c:pt>
                <c:pt idx="63">
                  <c:v>III-12</c:v>
                </c:pt>
                <c:pt idx="64">
                  <c:v>IV-12</c:v>
                </c:pt>
                <c:pt idx="65">
                  <c:v>I-13</c:v>
                </c:pt>
                <c:pt idx="66">
                  <c:v>II-13</c:v>
                </c:pt>
                <c:pt idx="67">
                  <c:v>III-13</c:v>
                </c:pt>
                <c:pt idx="68">
                  <c:v>IV-13</c:v>
                </c:pt>
                <c:pt idx="69">
                  <c:v>I-14</c:v>
                </c:pt>
                <c:pt idx="70">
                  <c:v>II-14</c:v>
                </c:pt>
              </c:strCache>
            </c:strRef>
          </c:cat>
          <c:val>
            <c:numRef>
              <c:f>Quarterly!$H$5:$BY$5</c:f>
              <c:numCache>
                <c:formatCode>0.00</c:formatCode>
                <c:ptCount val="70"/>
                <c:pt idx="0">
                  <c:v>104.99753213443516</c:v>
                </c:pt>
                <c:pt idx="1">
                  <c:v>111.15186433022029</c:v>
                </c:pt>
                <c:pt idx="2">
                  <c:v>116.40948615646832</c:v>
                </c:pt>
                <c:pt idx="3">
                  <c:v>118.60834703411712</c:v>
                </c:pt>
                <c:pt idx="4">
                  <c:v>113.63019835832992</c:v>
                </c:pt>
                <c:pt idx="5">
                  <c:v>118.15480689580899</c:v>
                </c:pt>
                <c:pt idx="6">
                  <c:v>122.44262732283737</c:v>
                </c:pt>
                <c:pt idx="7">
                  <c:v>119.22267026120095</c:v>
                </c:pt>
                <c:pt idx="8">
                  <c:v>112.9225871463166</c:v>
                </c:pt>
                <c:pt idx="9">
                  <c:v>111.6502718420162</c:v>
                </c:pt>
                <c:pt idx="10">
                  <c:v>115.1216336356194</c:v>
                </c:pt>
                <c:pt idx="11">
                  <c:v>117.17035413692933</c:v>
                </c:pt>
                <c:pt idx="12">
                  <c:v>111.63235125183508</c:v>
                </c:pt>
                <c:pt idx="13">
                  <c:v>109.06289312901096</c:v>
                </c:pt>
                <c:pt idx="14">
                  <c:v>110.49010181517001</c:v>
                </c:pt>
                <c:pt idx="15">
                  <c:v>107.98009814598883</c:v>
                </c:pt>
                <c:pt idx="16">
                  <c:v>101.58397462516355</c:v>
                </c:pt>
                <c:pt idx="17">
                  <c:v>97.53527710721238</c:v>
                </c:pt>
                <c:pt idx="18">
                  <c:v>97.614171446764018</c:v>
                </c:pt>
                <c:pt idx="19">
                  <c:v>95.709985819111495</c:v>
                </c:pt>
                <c:pt idx="20">
                  <c:v>91.673553784713761</c:v>
                </c:pt>
                <c:pt idx="21">
                  <c:v>93.607597205019616</c:v>
                </c:pt>
                <c:pt idx="22">
                  <c:v>94.518288643073348</c:v>
                </c:pt>
                <c:pt idx="23">
                  <c:v>99.26914004394466</c:v>
                </c:pt>
                <c:pt idx="24">
                  <c:v>100.01003173775528</c:v>
                </c:pt>
                <c:pt idx="25">
                  <c:v>99.399294847163645</c:v>
                </c:pt>
                <c:pt idx="26">
                  <c:v>106.31928061081865</c:v>
                </c:pt>
                <c:pt idx="27">
                  <c:v>110.61687170636505</c:v>
                </c:pt>
                <c:pt idx="28">
                  <c:v>104.11439433358886</c:v>
                </c:pt>
                <c:pt idx="29">
                  <c:v>105.69902869211687</c:v>
                </c:pt>
                <c:pt idx="30">
                  <c:v>107.6327828776452</c:v>
                </c:pt>
                <c:pt idx="31">
                  <c:v>109.27671817607323</c:v>
                </c:pt>
                <c:pt idx="32">
                  <c:v>115.52432448355572</c:v>
                </c:pt>
                <c:pt idx="33">
                  <c:v>122.39488426766462</c:v>
                </c:pt>
                <c:pt idx="34">
                  <c:v>128.4036370013313</c:v>
                </c:pt>
                <c:pt idx="35">
                  <c:v>127.5598107502493</c:v>
                </c:pt>
                <c:pt idx="36">
                  <c:v>125.40115303535779</c:v>
                </c:pt>
                <c:pt idx="37">
                  <c:v>132.07406997364305</c:v>
                </c:pt>
                <c:pt idx="38">
                  <c:v>135.60457648906595</c:v>
                </c:pt>
                <c:pt idx="39">
                  <c:v>133.22661184375929</c:v>
                </c:pt>
                <c:pt idx="40">
                  <c:v>132.65100262112503</c:v>
                </c:pt>
                <c:pt idx="41">
                  <c:v>145.84854062558151</c:v>
                </c:pt>
                <c:pt idx="42">
                  <c:v>147.67271273815567</c:v>
                </c:pt>
                <c:pt idx="43">
                  <c:v>128.83539709032399</c:v>
                </c:pt>
                <c:pt idx="44">
                  <c:v>121.55409077322024</c:v>
                </c:pt>
                <c:pt idx="45">
                  <c:v>116.3828489354209</c:v>
                </c:pt>
                <c:pt idx="46">
                  <c:v>123.17934645663922</c:v>
                </c:pt>
                <c:pt idx="47">
                  <c:v>129.21736162345454</c:v>
                </c:pt>
                <c:pt idx="48">
                  <c:v>132.39291472269781</c:v>
                </c:pt>
                <c:pt idx="49">
                  <c:v>132.27005057323541</c:v>
                </c:pt>
                <c:pt idx="50">
                  <c:v>134.91126335578193</c:v>
                </c:pt>
                <c:pt idx="51">
                  <c:v>126.10076638969556</c:v>
                </c:pt>
                <c:pt idx="52">
                  <c:v>124.65643949092468</c:v>
                </c:pt>
                <c:pt idx="53">
                  <c:v>126.60190171238467</c:v>
                </c:pt>
                <c:pt idx="54">
                  <c:v>129.79723968050573</c:v>
                </c:pt>
                <c:pt idx="55">
                  <c:v>122.4176122923178</c:v>
                </c:pt>
                <c:pt idx="56">
                  <c:v>118.29310656459005</c:v>
                </c:pt>
                <c:pt idx="57">
                  <c:v>119.38591964608389</c:v>
                </c:pt>
                <c:pt idx="58">
                  <c:v>121.63115866262442</c:v>
                </c:pt>
                <c:pt idx="59">
                  <c:v>120.45245519122238</c:v>
                </c:pt>
                <c:pt idx="60">
                  <c:v>127.59916066176982</c:v>
                </c:pt>
                <c:pt idx="61">
                  <c:v>127.77253872507839</c:v>
                </c:pt>
                <c:pt idx="62">
                  <c:v>132.05412032908777</c:v>
                </c:pt>
                <c:pt idx="63">
                  <c:v>130.19641030449657</c:v>
                </c:pt>
              </c:numCache>
            </c:numRef>
          </c:val>
          <c:smooth val="0"/>
        </c:ser>
        <c:dLbls>
          <c:showLegendKey val="0"/>
          <c:showVal val="0"/>
          <c:showCatName val="0"/>
          <c:showSerName val="0"/>
          <c:showPercent val="0"/>
          <c:showBubbleSize val="0"/>
        </c:dLbls>
        <c:marker val="1"/>
        <c:smooth val="0"/>
        <c:axId val="155788416"/>
        <c:axId val="155789952"/>
      </c:lineChart>
      <c:catAx>
        <c:axId val="155788416"/>
        <c:scaling>
          <c:orientation val="minMax"/>
        </c:scaling>
        <c:delete val="0"/>
        <c:axPos val="b"/>
        <c:majorTickMark val="out"/>
        <c:minorTickMark val="none"/>
        <c:tickLblPos val="nextTo"/>
        <c:crossAx val="155789952"/>
        <c:crosses val="autoZero"/>
        <c:auto val="1"/>
        <c:lblAlgn val="ctr"/>
        <c:lblOffset val="100"/>
        <c:noMultiLvlLbl val="0"/>
      </c:catAx>
      <c:valAx>
        <c:axId val="155789952"/>
        <c:scaling>
          <c:orientation val="minMax"/>
          <c:min val="80"/>
        </c:scaling>
        <c:delete val="0"/>
        <c:axPos val="l"/>
        <c:majorGridlines/>
        <c:numFmt formatCode="0.00" sourceLinked="1"/>
        <c:majorTickMark val="out"/>
        <c:minorTickMark val="none"/>
        <c:tickLblPos val="nextTo"/>
        <c:crossAx val="155788416"/>
        <c:crosses val="autoZero"/>
        <c:crossBetween val="between"/>
      </c:valAx>
    </c:plotArea>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600"/>
            </a:pPr>
            <a:r>
              <a:rPr lang="en-US" sz="1600" b="0">
                <a:latin typeface="Times New Roman" panose="02020603050405020304" pitchFamily="18" charset="0"/>
                <a:cs typeface="Times New Roman" panose="02020603050405020304" pitchFamily="18" charset="0"/>
              </a:rPr>
              <a:t>FDI into Sectors 2012</a:t>
            </a:r>
          </a:p>
        </c:rich>
      </c:tx>
      <c:layout>
        <c:manualLayout>
          <c:xMode val="edge"/>
          <c:yMode val="edge"/>
          <c:x val="0.33404833998697253"/>
          <c:y val="6.1042923562989548E-4"/>
        </c:manualLayout>
      </c:layout>
      <c:overlay val="0"/>
    </c:title>
    <c:autoTitleDeleted val="0"/>
    <c:plotArea>
      <c:layout>
        <c:manualLayout>
          <c:layoutTarget val="inner"/>
          <c:xMode val="edge"/>
          <c:yMode val="edge"/>
          <c:x val="0.20350573700795452"/>
          <c:y val="0.18904576314182553"/>
          <c:w val="0.61295212336685057"/>
          <c:h val="0.70443052507141557"/>
        </c:manualLayout>
      </c:layout>
      <c:pieChart>
        <c:varyColors val="1"/>
        <c:ser>
          <c:idx val="0"/>
          <c:order val="0"/>
          <c:explosion val="25"/>
          <c:dLbls>
            <c:dLbl>
              <c:idx val="0"/>
              <c:layout>
                <c:manualLayout>
                  <c:x val="0.28619483439828203"/>
                  <c:y val="6.3619240943584454E-2"/>
                </c:manualLayout>
              </c:layout>
              <c:showLegendKey val="0"/>
              <c:showVal val="0"/>
              <c:showCatName val="1"/>
              <c:showSerName val="0"/>
              <c:showPercent val="0"/>
              <c:showBubbleSize val="0"/>
            </c:dLbl>
            <c:dLbl>
              <c:idx val="5"/>
              <c:layout>
                <c:manualLayout>
                  <c:x val="-0.32569483692840401"/>
                  <c:y val="-2.0162591134911929E-3"/>
                </c:manualLayout>
              </c:layout>
              <c:showLegendKey val="0"/>
              <c:showVal val="0"/>
              <c:showCatName val="1"/>
              <c:showSerName val="0"/>
              <c:showPercent val="0"/>
              <c:showBubbleSize val="0"/>
            </c:dLbl>
            <c:dLbl>
              <c:idx val="9"/>
              <c:tx>
                <c:rich>
                  <a:bodyPr/>
                  <a:lstStyle/>
                  <a:p>
                    <a:r>
                      <a:rPr lang="en-US" sz="1100" smtClean="0"/>
                      <a:t>Telecommun.</a:t>
                    </a:r>
                    <a:endParaRPr lang="en-US" dirty="0"/>
                  </a:p>
                </c:rich>
              </c:tx>
              <c:showLegendKey val="0"/>
              <c:showVal val="0"/>
              <c:showCatName val="1"/>
              <c:showSerName val="0"/>
              <c:showPercent val="0"/>
              <c:showBubbleSize val="0"/>
            </c:dLbl>
            <c:dLbl>
              <c:idx val="12"/>
              <c:delete val="1"/>
            </c:dLbl>
            <c:dLbl>
              <c:idx val="13"/>
              <c:layout>
                <c:manualLayout>
                  <c:x val="-0.19909111039026867"/>
                  <c:y val="7.9002632077487065E-3"/>
                </c:manualLayout>
              </c:layout>
              <c:tx>
                <c:rich>
                  <a:bodyPr/>
                  <a:lstStyle/>
                  <a:p>
                    <a:r>
                      <a:rPr lang="en-US" sz="1100"/>
                      <a:t>Scientific </a:t>
                    </a:r>
                    <a:r>
                      <a:rPr lang="en-US" sz="1100" smtClean="0"/>
                      <a:t>research</a:t>
                    </a:r>
                    <a:endParaRPr lang="en-US" dirty="0"/>
                  </a:p>
                </c:rich>
              </c:tx>
              <c:showLegendKey val="0"/>
              <c:showVal val="0"/>
              <c:showCatName val="1"/>
              <c:showSerName val="0"/>
              <c:showPercent val="0"/>
              <c:showBubbleSize val="0"/>
            </c:dLbl>
            <c:dLbl>
              <c:idx val="14"/>
              <c:tx>
                <c:rich>
                  <a:bodyPr/>
                  <a:lstStyle/>
                  <a:p>
                    <a:r>
                      <a:rPr lang="en-US" sz="1100" smtClean="0"/>
                      <a:t>Sports</a:t>
                    </a:r>
                    <a:endParaRPr lang="en-US" dirty="0"/>
                  </a:p>
                </c:rich>
              </c:tx>
              <c:showLegendKey val="0"/>
              <c:showVal val="0"/>
              <c:showCatName val="1"/>
              <c:showSerName val="0"/>
              <c:showPercent val="0"/>
              <c:showBubbleSize val="0"/>
            </c:dLbl>
            <c:txPr>
              <a:bodyPr/>
              <a:lstStyle/>
              <a:p>
                <a:pPr>
                  <a:defRPr sz="1100"/>
                </a:pPr>
                <a:endParaRPr lang="en-US"/>
              </a:p>
            </c:txPr>
            <c:showLegendKey val="0"/>
            <c:showVal val="0"/>
            <c:showCatName val="1"/>
            <c:showSerName val="0"/>
            <c:showPercent val="0"/>
            <c:showBubbleSize val="0"/>
            <c:showLeaderLines val="1"/>
          </c:dLbls>
          <c:cat>
            <c:strRef>
              <c:f>Лист3!$D$4:$D$18</c:f>
              <c:strCache>
                <c:ptCount val="15"/>
                <c:pt idx="0">
                  <c:v>Crop and animal production</c:v>
                </c:pt>
                <c:pt idx="1">
                  <c:v>Mining</c:v>
                </c:pt>
                <c:pt idx="2">
                  <c:v>Manufactoring</c:v>
                </c:pt>
                <c:pt idx="3">
                  <c:v>Electricity and gas supply</c:v>
                </c:pt>
                <c:pt idx="4">
                  <c:v>Construction </c:v>
                </c:pt>
                <c:pt idx="5">
                  <c:v>Wholesale trade</c:v>
                </c:pt>
                <c:pt idx="6">
                  <c:v>Retail trade</c:v>
                </c:pt>
                <c:pt idx="7">
                  <c:v>Transportation</c:v>
                </c:pt>
                <c:pt idx="8">
                  <c:v>Accommodation</c:v>
                </c:pt>
                <c:pt idx="9">
                  <c:v>Telecommunications</c:v>
                </c:pt>
                <c:pt idx="10">
                  <c:v>IT</c:v>
                </c:pt>
                <c:pt idx="11">
                  <c:v>Real estate</c:v>
                </c:pt>
                <c:pt idx="12">
                  <c:v>Activities of head offices</c:v>
                </c:pt>
                <c:pt idx="13">
                  <c:v>Scientific research and development</c:v>
                </c:pt>
                <c:pt idx="14">
                  <c:v>Sports and Amusement </c:v>
                </c:pt>
              </c:strCache>
            </c:strRef>
          </c:cat>
          <c:val>
            <c:numRef>
              <c:f>Лист3!$E$4:$E$18</c:f>
              <c:numCache>
                <c:formatCode>General</c:formatCode>
                <c:ptCount val="15"/>
                <c:pt idx="0" formatCode="0.0">
                  <c:v>8371</c:v>
                </c:pt>
                <c:pt idx="1">
                  <c:v>168178.6</c:v>
                </c:pt>
                <c:pt idx="2">
                  <c:v>46003.30000000001</c:v>
                </c:pt>
                <c:pt idx="3" formatCode="0.0">
                  <c:v>41611.9</c:v>
                </c:pt>
                <c:pt idx="4" formatCode="0.0">
                  <c:v>30949.1</c:v>
                </c:pt>
                <c:pt idx="5" formatCode="0.0">
                  <c:v>5832.8</c:v>
                </c:pt>
                <c:pt idx="6" formatCode="0.0">
                  <c:v>2852.6</c:v>
                </c:pt>
                <c:pt idx="7" formatCode="0.0">
                  <c:v>119735.1</c:v>
                </c:pt>
                <c:pt idx="8" formatCode="0.0">
                  <c:v>7266.9</c:v>
                </c:pt>
                <c:pt idx="9" formatCode="0.0">
                  <c:v>113717.4</c:v>
                </c:pt>
                <c:pt idx="10" formatCode="0.0">
                  <c:v>3182.8</c:v>
                </c:pt>
                <c:pt idx="11" formatCode="0.0">
                  <c:v>46041.2</c:v>
                </c:pt>
                <c:pt idx="12" formatCode="0.0">
                  <c:v>243.4</c:v>
                </c:pt>
                <c:pt idx="13" formatCode="0.0">
                  <c:v>1665.7</c:v>
                </c:pt>
                <c:pt idx="14" formatCode="0.0">
                  <c:v>678.1</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spPr>
    <a:solidFill>
      <a:schemeClr val="bg1"/>
    </a:solidFill>
    <a:ln>
      <a:solidFill>
        <a:schemeClr val="bg1"/>
      </a:solidFill>
    </a:ln>
  </c:spPr>
  <c:txPr>
    <a:bodyPr/>
    <a:lstStyle/>
    <a:p>
      <a:pPr>
        <a:defRPr sz="1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Remittances and GDP growth Trends</a:t>
            </a:r>
          </a:p>
        </c:rich>
      </c:tx>
      <c:overlay val="0"/>
    </c:title>
    <c:autoTitleDeleted val="0"/>
    <c:plotArea>
      <c:layout/>
      <c:lineChart>
        <c:grouping val="standard"/>
        <c:varyColors val="0"/>
        <c:ser>
          <c:idx val="0"/>
          <c:order val="0"/>
          <c:tx>
            <c:strRef>
              <c:f>Data!$F$11</c:f>
              <c:strCache>
                <c:ptCount val="1"/>
                <c:pt idx="0">
                  <c:v>Personal remittances US$</c:v>
                </c:pt>
              </c:strCache>
            </c:strRef>
          </c:tx>
          <c:cat>
            <c:numRef>
              <c:f>Data!$E$12:$E$25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Data!$F$12:$F$25</c:f>
              <c:numCache>
                <c:formatCode>General</c:formatCode>
                <c:ptCount val="14"/>
                <c:pt idx="0">
                  <c:v>87470001.219999999</c:v>
                </c:pt>
                <c:pt idx="1">
                  <c:v>94388160.709999993</c:v>
                </c:pt>
                <c:pt idx="2">
                  <c:v>130979736.29999998</c:v>
                </c:pt>
                <c:pt idx="3">
                  <c:v>167704055.80000001</c:v>
                </c:pt>
                <c:pt idx="4">
                  <c:v>434552612.30000001</c:v>
                </c:pt>
                <c:pt idx="5">
                  <c:v>915231161.78094304</c:v>
                </c:pt>
                <c:pt idx="6">
                  <c:v>1169173062.5998399</c:v>
                </c:pt>
                <c:pt idx="7">
                  <c:v>1644375090.62217</c:v>
                </c:pt>
                <c:pt idx="8">
                  <c:v>1904067122.6008</c:v>
                </c:pt>
                <c:pt idx="9">
                  <c:v>1439809231.6840601</c:v>
                </c:pt>
                <c:pt idx="10">
                  <c:v>1669336819.1136601</c:v>
                </c:pt>
                <c:pt idx="11">
                  <c:v>1798624692.26173</c:v>
                </c:pt>
                <c:pt idx="12">
                  <c:v>1914983996.6162701</c:v>
                </c:pt>
                <c:pt idx="13">
                  <c:v>2192648492.3067598</c:v>
                </c:pt>
              </c:numCache>
            </c:numRef>
          </c:val>
          <c:smooth val="0"/>
        </c:ser>
        <c:dLbls>
          <c:showLegendKey val="0"/>
          <c:showVal val="0"/>
          <c:showCatName val="0"/>
          <c:showSerName val="0"/>
          <c:showPercent val="0"/>
          <c:showBubbleSize val="0"/>
        </c:dLbls>
        <c:marker val="1"/>
        <c:smooth val="0"/>
        <c:axId val="168004224"/>
        <c:axId val="168010112"/>
      </c:lineChart>
      <c:lineChart>
        <c:grouping val="standard"/>
        <c:varyColors val="0"/>
        <c:ser>
          <c:idx val="1"/>
          <c:order val="1"/>
          <c:tx>
            <c:strRef>
              <c:f>Data!$G$11</c:f>
              <c:strCache>
                <c:ptCount val="1"/>
                <c:pt idx="0">
                  <c:v>GDP Annual Growth</c:v>
                </c:pt>
              </c:strCache>
            </c:strRef>
          </c:tx>
          <c:val>
            <c:numRef>
              <c:f>Data!$G$12:$G$25</c:f>
              <c:numCache>
                <c:formatCode>General</c:formatCode>
                <c:ptCount val="14"/>
                <c:pt idx="0">
                  <c:v>5.8999999999997783</c:v>
                </c:pt>
                <c:pt idx="1">
                  <c:v>9.5566414955344499</c:v>
                </c:pt>
                <c:pt idx="2">
                  <c:v>13.186300532066952</c:v>
                </c:pt>
                <c:pt idx="3">
                  <c:v>14.040795055964878</c:v>
                </c:pt>
                <c:pt idx="4">
                  <c:v>10.467841863996853</c:v>
                </c:pt>
                <c:pt idx="5">
                  <c:v>13.865711251485436</c:v>
                </c:pt>
                <c:pt idx="6">
                  <c:v>13.198003514140936</c:v>
                </c:pt>
                <c:pt idx="7">
                  <c:v>13.749201958383921</c:v>
                </c:pt>
                <c:pt idx="8">
                  <c:v>6.9000000000000341</c:v>
                </c:pt>
                <c:pt idx="9">
                  <c:v>-14.149988638616847</c:v>
                </c:pt>
                <c:pt idx="10">
                  <c:v>2.1999999999999602</c:v>
                </c:pt>
                <c:pt idx="11">
                  <c:v>4.6999999999998607</c:v>
                </c:pt>
                <c:pt idx="12">
                  <c:v>7.199999999999946</c:v>
                </c:pt>
                <c:pt idx="13">
                  <c:v>3.4999999999998153</c:v>
                </c:pt>
              </c:numCache>
            </c:numRef>
          </c:val>
          <c:smooth val="0"/>
        </c:ser>
        <c:dLbls>
          <c:showLegendKey val="0"/>
          <c:showVal val="0"/>
          <c:showCatName val="0"/>
          <c:showSerName val="0"/>
          <c:showPercent val="0"/>
          <c:showBubbleSize val="0"/>
        </c:dLbls>
        <c:marker val="1"/>
        <c:smooth val="0"/>
        <c:axId val="168017920"/>
        <c:axId val="168012032"/>
      </c:lineChart>
      <c:catAx>
        <c:axId val="168004224"/>
        <c:scaling>
          <c:orientation val="minMax"/>
        </c:scaling>
        <c:delete val="0"/>
        <c:axPos val="b"/>
        <c:numFmt formatCode="General" sourceLinked="1"/>
        <c:majorTickMark val="out"/>
        <c:minorTickMark val="none"/>
        <c:tickLblPos val="nextTo"/>
        <c:crossAx val="168010112"/>
        <c:crosses val="autoZero"/>
        <c:auto val="1"/>
        <c:lblAlgn val="ctr"/>
        <c:lblOffset val="100"/>
        <c:noMultiLvlLbl val="0"/>
      </c:catAx>
      <c:valAx>
        <c:axId val="168010112"/>
        <c:scaling>
          <c:orientation val="minMax"/>
        </c:scaling>
        <c:delete val="0"/>
        <c:axPos val="l"/>
        <c:majorGridlines/>
        <c:numFmt formatCode="General" sourceLinked="1"/>
        <c:majorTickMark val="out"/>
        <c:minorTickMark val="none"/>
        <c:tickLblPos val="nextTo"/>
        <c:crossAx val="168004224"/>
        <c:crosses val="autoZero"/>
        <c:crossBetween val="between"/>
        <c:dispUnits>
          <c:builtInUnit val="thousands"/>
          <c:dispUnitsLbl>
            <c:tx>
              <c:rich>
                <a:bodyPr/>
                <a:lstStyle/>
                <a:p>
                  <a:pPr>
                    <a:defRPr/>
                  </a:pPr>
                  <a:r>
                    <a:rPr lang="en-US"/>
                    <a:t>Thousands in USD</a:t>
                  </a:r>
                </a:p>
              </c:rich>
            </c:tx>
          </c:dispUnitsLbl>
        </c:dispUnits>
      </c:valAx>
      <c:valAx>
        <c:axId val="168012032"/>
        <c:scaling>
          <c:orientation val="minMax"/>
        </c:scaling>
        <c:delete val="0"/>
        <c:axPos val="r"/>
        <c:numFmt formatCode="General" sourceLinked="1"/>
        <c:majorTickMark val="out"/>
        <c:minorTickMark val="none"/>
        <c:tickLblPos val="nextTo"/>
        <c:crossAx val="168017920"/>
        <c:crosses val="max"/>
        <c:crossBetween val="between"/>
      </c:valAx>
      <c:catAx>
        <c:axId val="168017920"/>
        <c:scaling>
          <c:orientation val="minMax"/>
        </c:scaling>
        <c:delete val="1"/>
        <c:axPos val="b"/>
        <c:majorTickMark val="out"/>
        <c:minorTickMark val="none"/>
        <c:tickLblPos val="nextTo"/>
        <c:crossAx val="168012032"/>
        <c:crosses val="autoZero"/>
        <c:auto val="1"/>
        <c:lblAlgn val="ctr"/>
        <c:lblOffset val="100"/>
        <c:noMultiLvlLbl val="0"/>
      </c:catAx>
    </c:plotArea>
    <c:legend>
      <c:legendPos val="b"/>
      <c:overlay val="0"/>
    </c:legend>
    <c:plotVisOnly val="1"/>
    <c:dispBlanksAs val="gap"/>
    <c:showDLblsOverMax val="0"/>
  </c:chart>
  <c:spPr>
    <a:ln>
      <a:solidFill>
        <a:schemeClr val="bg1"/>
      </a:solid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600" b="0"/>
            </a:pPr>
            <a:r>
              <a:rPr lang="en-US" sz="1600" b="0"/>
              <a:t>Mining Production and GDP Growth trend</a:t>
            </a:r>
          </a:p>
        </c:rich>
      </c:tx>
      <c:overlay val="0"/>
    </c:title>
    <c:autoTitleDeleted val="0"/>
    <c:plotArea>
      <c:layout/>
      <c:lineChart>
        <c:grouping val="standard"/>
        <c:varyColors val="0"/>
        <c:ser>
          <c:idx val="1"/>
          <c:order val="1"/>
          <c:tx>
            <c:strRef>
              <c:f>Data!$H$11</c:f>
              <c:strCache>
                <c:ptCount val="1"/>
                <c:pt idx="0">
                  <c:v>Mining production</c:v>
                </c:pt>
              </c:strCache>
            </c:strRef>
          </c:tx>
          <c:cat>
            <c:numRef>
              <c:f>Data!$C$20:$C$33</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Data!$H$12:$H$25</c:f>
              <c:numCache>
                <c:formatCode>#,##0</c:formatCode>
                <c:ptCount val="14"/>
                <c:pt idx="0">
                  <c:v>7905.3</c:v>
                </c:pt>
                <c:pt idx="1">
                  <c:v>9856.7000000000007</c:v>
                </c:pt>
                <c:pt idx="2">
                  <c:v>15585.5</c:v>
                </c:pt>
                <c:pt idx="3">
                  <c:v>22347.5</c:v>
                </c:pt>
                <c:pt idx="4">
                  <c:v>61949.1</c:v>
                </c:pt>
                <c:pt idx="5">
                  <c:v>71503.8</c:v>
                </c:pt>
                <c:pt idx="6">
                  <c:v>68541.100000000006</c:v>
                </c:pt>
                <c:pt idx="7">
                  <c:v>70943.3</c:v>
                </c:pt>
                <c:pt idx="8">
                  <c:v>55490.8</c:v>
                </c:pt>
                <c:pt idx="9">
                  <c:v>52252.5</c:v>
                </c:pt>
                <c:pt idx="10">
                  <c:v>89251.199999999997</c:v>
                </c:pt>
                <c:pt idx="11">
                  <c:v>102846.5</c:v>
                </c:pt>
                <c:pt idx="12">
                  <c:v>114326.8</c:v>
                </c:pt>
                <c:pt idx="13">
                  <c:v>103461.6</c:v>
                </c:pt>
              </c:numCache>
            </c:numRef>
          </c:val>
          <c:smooth val="0"/>
        </c:ser>
        <c:dLbls>
          <c:showLegendKey val="0"/>
          <c:showVal val="0"/>
          <c:showCatName val="0"/>
          <c:showSerName val="0"/>
          <c:showPercent val="0"/>
          <c:showBubbleSize val="0"/>
        </c:dLbls>
        <c:marker val="1"/>
        <c:smooth val="0"/>
        <c:axId val="173365120"/>
        <c:axId val="173366656"/>
      </c:lineChart>
      <c:lineChart>
        <c:grouping val="standard"/>
        <c:varyColors val="0"/>
        <c:ser>
          <c:idx val="0"/>
          <c:order val="0"/>
          <c:tx>
            <c:strRef>
              <c:f>Data!$G$11</c:f>
              <c:strCache>
                <c:ptCount val="1"/>
                <c:pt idx="0">
                  <c:v>GDP Annual Growth</c:v>
                </c:pt>
              </c:strCache>
            </c:strRef>
          </c:tx>
          <c:cat>
            <c:numRef>
              <c:f>Data!$C$20:$C$33</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Data!$G$12:$G$25</c:f>
              <c:numCache>
                <c:formatCode>General</c:formatCode>
                <c:ptCount val="14"/>
                <c:pt idx="0">
                  <c:v>5.8999999999997783</c:v>
                </c:pt>
                <c:pt idx="1">
                  <c:v>9.5566414955344499</c:v>
                </c:pt>
                <c:pt idx="2">
                  <c:v>13.186300532066952</c:v>
                </c:pt>
                <c:pt idx="3">
                  <c:v>14.040795055964878</c:v>
                </c:pt>
                <c:pt idx="4">
                  <c:v>10.467841863996853</c:v>
                </c:pt>
                <c:pt idx="5">
                  <c:v>13.865711251485436</c:v>
                </c:pt>
                <c:pt idx="6">
                  <c:v>13.198003514140936</c:v>
                </c:pt>
                <c:pt idx="7">
                  <c:v>13.749201958383921</c:v>
                </c:pt>
                <c:pt idx="8">
                  <c:v>6.9000000000000341</c:v>
                </c:pt>
                <c:pt idx="9">
                  <c:v>-14.149988638616847</c:v>
                </c:pt>
                <c:pt idx="10">
                  <c:v>2.1999999999999602</c:v>
                </c:pt>
                <c:pt idx="11">
                  <c:v>4.6999999999998607</c:v>
                </c:pt>
                <c:pt idx="12">
                  <c:v>7.199999999999946</c:v>
                </c:pt>
                <c:pt idx="13">
                  <c:v>3.4999999999998153</c:v>
                </c:pt>
              </c:numCache>
            </c:numRef>
          </c:val>
          <c:smooth val="0"/>
        </c:ser>
        <c:dLbls>
          <c:showLegendKey val="0"/>
          <c:showVal val="0"/>
          <c:showCatName val="0"/>
          <c:showSerName val="0"/>
          <c:showPercent val="0"/>
          <c:showBubbleSize val="0"/>
        </c:dLbls>
        <c:marker val="1"/>
        <c:smooth val="0"/>
        <c:axId val="173382656"/>
        <c:axId val="173381120"/>
      </c:lineChart>
      <c:catAx>
        <c:axId val="173365120"/>
        <c:scaling>
          <c:orientation val="minMax"/>
        </c:scaling>
        <c:delete val="0"/>
        <c:axPos val="b"/>
        <c:numFmt formatCode="General" sourceLinked="1"/>
        <c:majorTickMark val="out"/>
        <c:minorTickMark val="none"/>
        <c:tickLblPos val="nextTo"/>
        <c:crossAx val="173366656"/>
        <c:crosses val="autoZero"/>
        <c:auto val="1"/>
        <c:lblAlgn val="ctr"/>
        <c:lblOffset val="100"/>
        <c:tickLblSkip val="1"/>
        <c:noMultiLvlLbl val="0"/>
      </c:catAx>
      <c:valAx>
        <c:axId val="173366656"/>
        <c:scaling>
          <c:orientation val="minMax"/>
        </c:scaling>
        <c:delete val="0"/>
        <c:axPos val="l"/>
        <c:majorGridlines/>
        <c:title>
          <c:tx>
            <c:rich>
              <a:bodyPr rot="-5400000" vert="horz"/>
              <a:lstStyle/>
              <a:p>
                <a:pPr>
                  <a:defRPr/>
                </a:pPr>
                <a:r>
                  <a:rPr lang="en-US"/>
                  <a:t>Millions</a:t>
                </a:r>
                <a:r>
                  <a:rPr lang="en-US" baseline="0"/>
                  <a:t> in AMD</a:t>
                </a:r>
                <a:endParaRPr lang="en-US"/>
              </a:p>
            </c:rich>
          </c:tx>
          <c:overlay val="0"/>
        </c:title>
        <c:numFmt formatCode="#,##0" sourceLinked="1"/>
        <c:majorTickMark val="out"/>
        <c:minorTickMark val="none"/>
        <c:tickLblPos val="nextTo"/>
        <c:crossAx val="173365120"/>
        <c:crosses val="autoZero"/>
        <c:crossBetween val="between"/>
      </c:valAx>
      <c:valAx>
        <c:axId val="173381120"/>
        <c:scaling>
          <c:orientation val="minMax"/>
        </c:scaling>
        <c:delete val="0"/>
        <c:axPos val="r"/>
        <c:numFmt formatCode="General" sourceLinked="1"/>
        <c:majorTickMark val="out"/>
        <c:minorTickMark val="none"/>
        <c:tickLblPos val="nextTo"/>
        <c:crossAx val="173382656"/>
        <c:crosses val="max"/>
        <c:crossBetween val="between"/>
      </c:valAx>
      <c:catAx>
        <c:axId val="173382656"/>
        <c:scaling>
          <c:orientation val="minMax"/>
        </c:scaling>
        <c:delete val="1"/>
        <c:axPos val="b"/>
        <c:numFmt formatCode="General" sourceLinked="1"/>
        <c:majorTickMark val="out"/>
        <c:minorTickMark val="none"/>
        <c:tickLblPos val="nextTo"/>
        <c:crossAx val="17338112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Monthly Copper Prices,  Nominal ($/mt)</a:t>
            </a:r>
          </a:p>
        </c:rich>
      </c:tx>
      <c:overlay val="0"/>
    </c:title>
    <c:autoTitleDeleted val="0"/>
    <c:plotArea>
      <c:layout/>
      <c:lineChart>
        <c:grouping val="standard"/>
        <c:varyColors val="0"/>
        <c:ser>
          <c:idx val="0"/>
          <c:order val="0"/>
          <c:tx>
            <c:strRef>
              <c:f>Data!$K$6</c:f>
              <c:strCache>
                <c:ptCount val="1"/>
                <c:pt idx="0">
                  <c:v>Copper, $/mt, nominal$</c:v>
                </c:pt>
              </c:strCache>
            </c:strRef>
          </c:tx>
          <c:marker>
            <c:symbol val="none"/>
          </c:marker>
          <c:cat>
            <c:strRef>
              <c:f>Data!$J$12:$J$65</c:f>
              <c:strCache>
                <c:ptCount val="54"/>
                <c:pt idx="0">
                  <c:v>2001M06</c:v>
                </c:pt>
                <c:pt idx="1">
                  <c:v>2001M09</c:v>
                </c:pt>
                <c:pt idx="2">
                  <c:v>2001M12</c:v>
                </c:pt>
                <c:pt idx="3">
                  <c:v>2002M03</c:v>
                </c:pt>
                <c:pt idx="4">
                  <c:v>2002M06</c:v>
                </c:pt>
                <c:pt idx="5">
                  <c:v>2002M09</c:v>
                </c:pt>
                <c:pt idx="6">
                  <c:v>2002M12</c:v>
                </c:pt>
                <c:pt idx="7">
                  <c:v>2003M03</c:v>
                </c:pt>
                <c:pt idx="8">
                  <c:v>2003M06</c:v>
                </c:pt>
                <c:pt idx="9">
                  <c:v>2003M09</c:v>
                </c:pt>
                <c:pt idx="10">
                  <c:v>2003M12</c:v>
                </c:pt>
                <c:pt idx="11">
                  <c:v>2004M03</c:v>
                </c:pt>
                <c:pt idx="12">
                  <c:v>2004M06</c:v>
                </c:pt>
                <c:pt idx="13">
                  <c:v>2004M09</c:v>
                </c:pt>
                <c:pt idx="14">
                  <c:v>2004M12</c:v>
                </c:pt>
                <c:pt idx="15">
                  <c:v>2005M03</c:v>
                </c:pt>
                <c:pt idx="16">
                  <c:v>2005M06</c:v>
                </c:pt>
                <c:pt idx="17">
                  <c:v>2005M09</c:v>
                </c:pt>
                <c:pt idx="18">
                  <c:v>2005M12</c:v>
                </c:pt>
                <c:pt idx="19">
                  <c:v>2006M03</c:v>
                </c:pt>
                <c:pt idx="20">
                  <c:v>2006M06</c:v>
                </c:pt>
                <c:pt idx="21">
                  <c:v>2006M09</c:v>
                </c:pt>
                <c:pt idx="22">
                  <c:v>2006M12</c:v>
                </c:pt>
                <c:pt idx="23">
                  <c:v>2007M03</c:v>
                </c:pt>
                <c:pt idx="24">
                  <c:v>2007M06</c:v>
                </c:pt>
                <c:pt idx="25">
                  <c:v>2007M09</c:v>
                </c:pt>
                <c:pt idx="26">
                  <c:v>2007M12</c:v>
                </c:pt>
                <c:pt idx="27">
                  <c:v>2008M03</c:v>
                </c:pt>
                <c:pt idx="28">
                  <c:v>2008M06</c:v>
                </c:pt>
                <c:pt idx="29">
                  <c:v>2008M09</c:v>
                </c:pt>
                <c:pt idx="30">
                  <c:v>2008M12</c:v>
                </c:pt>
                <c:pt idx="31">
                  <c:v>2009M03</c:v>
                </c:pt>
                <c:pt idx="32">
                  <c:v>2009M06</c:v>
                </c:pt>
                <c:pt idx="33">
                  <c:v>2009M09</c:v>
                </c:pt>
                <c:pt idx="34">
                  <c:v>2009M12</c:v>
                </c:pt>
                <c:pt idx="35">
                  <c:v>2010M03</c:v>
                </c:pt>
                <c:pt idx="36">
                  <c:v>2010M06</c:v>
                </c:pt>
                <c:pt idx="37">
                  <c:v>2010M09</c:v>
                </c:pt>
                <c:pt idx="38">
                  <c:v>2010M12</c:v>
                </c:pt>
                <c:pt idx="39">
                  <c:v>2011M03</c:v>
                </c:pt>
                <c:pt idx="40">
                  <c:v>2011M06</c:v>
                </c:pt>
                <c:pt idx="41">
                  <c:v>2011M09</c:v>
                </c:pt>
                <c:pt idx="42">
                  <c:v>2011M12</c:v>
                </c:pt>
                <c:pt idx="43">
                  <c:v>2012M03</c:v>
                </c:pt>
                <c:pt idx="44">
                  <c:v>2012M06</c:v>
                </c:pt>
                <c:pt idx="45">
                  <c:v>2012M09</c:v>
                </c:pt>
                <c:pt idx="46">
                  <c:v>2012M12</c:v>
                </c:pt>
                <c:pt idx="47">
                  <c:v>2013M03</c:v>
                </c:pt>
                <c:pt idx="48">
                  <c:v>2013M06</c:v>
                </c:pt>
                <c:pt idx="49">
                  <c:v>2013M09</c:v>
                </c:pt>
                <c:pt idx="50">
                  <c:v>2013M12</c:v>
                </c:pt>
                <c:pt idx="51">
                  <c:v>2014M03</c:v>
                </c:pt>
                <c:pt idx="52">
                  <c:v>2014M06</c:v>
                </c:pt>
                <c:pt idx="53">
                  <c:v>2014M09</c:v>
                </c:pt>
              </c:strCache>
            </c:strRef>
          </c:cat>
          <c:val>
            <c:numRef>
              <c:f>Data!$K$7:$K$65</c:f>
              <c:numCache>
                <c:formatCode>General</c:formatCode>
                <c:ptCount val="59"/>
                <c:pt idx="0">
                  <c:v>1739.39</c:v>
                </c:pt>
                <c:pt idx="1">
                  <c:v>1753.18</c:v>
                </c:pt>
                <c:pt idx="2">
                  <c:v>1960.41</c:v>
                </c:pt>
                <c:pt idx="3">
                  <c:v>1850.55</c:v>
                </c:pt>
                <c:pt idx="4">
                  <c:v>1738.77</c:v>
                </c:pt>
                <c:pt idx="5">
                  <c:v>1608.45</c:v>
                </c:pt>
                <c:pt idx="6">
                  <c:v>1426.33</c:v>
                </c:pt>
                <c:pt idx="7">
                  <c:v>1471.74</c:v>
                </c:pt>
                <c:pt idx="8">
                  <c:v>1604.88</c:v>
                </c:pt>
                <c:pt idx="9">
                  <c:v>1647.53</c:v>
                </c:pt>
                <c:pt idx="10">
                  <c:v>1478.71</c:v>
                </c:pt>
                <c:pt idx="11">
                  <c:v>1595.68</c:v>
                </c:pt>
                <c:pt idx="12">
                  <c:v>1658.9760000000001</c:v>
                </c:pt>
                <c:pt idx="13">
                  <c:v>1686.5</c:v>
                </c:pt>
                <c:pt idx="14">
                  <c:v>1789.5229999999999</c:v>
                </c:pt>
                <c:pt idx="15">
                  <c:v>2201.2860000000001</c:v>
                </c:pt>
                <c:pt idx="16">
                  <c:v>3008.7170000000001</c:v>
                </c:pt>
                <c:pt idx="17">
                  <c:v>2686.7049999999999</c:v>
                </c:pt>
                <c:pt idx="18">
                  <c:v>2894.864</c:v>
                </c:pt>
                <c:pt idx="19">
                  <c:v>3145.4520000000002</c:v>
                </c:pt>
                <c:pt idx="20">
                  <c:v>3379.49</c:v>
                </c:pt>
                <c:pt idx="21">
                  <c:v>3524.0680000000002</c:v>
                </c:pt>
                <c:pt idx="22">
                  <c:v>3857.8409999999999</c:v>
                </c:pt>
                <c:pt idx="23">
                  <c:v>4576.7749999999996</c:v>
                </c:pt>
                <c:pt idx="24">
                  <c:v>5102.848</c:v>
                </c:pt>
                <c:pt idx="25">
                  <c:v>7197.6139999999996</c:v>
                </c:pt>
                <c:pt idx="26">
                  <c:v>7602.357</c:v>
                </c:pt>
                <c:pt idx="27">
                  <c:v>6675.1049999999996</c:v>
                </c:pt>
                <c:pt idx="28">
                  <c:v>6452.4769999999999</c:v>
                </c:pt>
                <c:pt idx="29">
                  <c:v>7474.38</c:v>
                </c:pt>
                <c:pt idx="30">
                  <c:v>7648.9750000000004</c:v>
                </c:pt>
                <c:pt idx="31">
                  <c:v>6587.6670000000004</c:v>
                </c:pt>
                <c:pt idx="32">
                  <c:v>8439.2890000000007</c:v>
                </c:pt>
                <c:pt idx="33">
                  <c:v>8260.5949999999993</c:v>
                </c:pt>
                <c:pt idx="34">
                  <c:v>6990.8639999999996</c:v>
                </c:pt>
                <c:pt idx="35">
                  <c:v>3071.9760000000001</c:v>
                </c:pt>
                <c:pt idx="36">
                  <c:v>3749.75</c:v>
                </c:pt>
                <c:pt idx="37">
                  <c:v>5013.9549999999999</c:v>
                </c:pt>
                <c:pt idx="38">
                  <c:v>6196.4319999999998</c:v>
                </c:pt>
                <c:pt idx="39">
                  <c:v>6981.7139999999999</c:v>
                </c:pt>
                <c:pt idx="40">
                  <c:v>7462.826</c:v>
                </c:pt>
                <c:pt idx="41">
                  <c:v>6499.2950000000001</c:v>
                </c:pt>
                <c:pt idx="42">
                  <c:v>7709.2950000000001</c:v>
                </c:pt>
                <c:pt idx="43">
                  <c:v>9147.2620000000006</c:v>
                </c:pt>
                <c:pt idx="44">
                  <c:v>9503.36</c:v>
                </c:pt>
                <c:pt idx="45">
                  <c:v>9066.85</c:v>
                </c:pt>
                <c:pt idx="46">
                  <c:v>8300.14</c:v>
                </c:pt>
                <c:pt idx="47">
                  <c:v>7565.48</c:v>
                </c:pt>
                <c:pt idx="48">
                  <c:v>8470.7800000000007</c:v>
                </c:pt>
                <c:pt idx="49">
                  <c:v>7423.0238095238101</c:v>
                </c:pt>
                <c:pt idx="50">
                  <c:v>8087.74</c:v>
                </c:pt>
                <c:pt idx="51">
                  <c:v>7966.4868421052597</c:v>
                </c:pt>
                <c:pt idx="52">
                  <c:v>7645.5833333333303</c:v>
                </c:pt>
                <c:pt idx="53">
                  <c:v>7000.2375000000002</c:v>
                </c:pt>
                <c:pt idx="54">
                  <c:v>7159.2690476190501</c:v>
                </c:pt>
                <c:pt idx="55">
                  <c:v>7214.9</c:v>
                </c:pt>
                <c:pt idx="56">
                  <c:v>6650.04</c:v>
                </c:pt>
                <c:pt idx="57">
                  <c:v>6821.14</c:v>
                </c:pt>
                <c:pt idx="58">
                  <c:v>6872.22</c:v>
                </c:pt>
              </c:numCache>
            </c:numRef>
          </c:val>
          <c:smooth val="0"/>
        </c:ser>
        <c:dLbls>
          <c:showLegendKey val="0"/>
          <c:showVal val="0"/>
          <c:showCatName val="0"/>
          <c:showSerName val="0"/>
          <c:showPercent val="0"/>
          <c:showBubbleSize val="0"/>
        </c:dLbls>
        <c:marker val="1"/>
        <c:smooth val="0"/>
        <c:axId val="173394944"/>
        <c:axId val="173404928"/>
      </c:lineChart>
      <c:catAx>
        <c:axId val="173394944"/>
        <c:scaling>
          <c:orientation val="minMax"/>
        </c:scaling>
        <c:delete val="0"/>
        <c:axPos val="b"/>
        <c:majorTickMark val="out"/>
        <c:minorTickMark val="none"/>
        <c:tickLblPos val="nextTo"/>
        <c:crossAx val="173404928"/>
        <c:crosses val="autoZero"/>
        <c:auto val="1"/>
        <c:lblAlgn val="ctr"/>
        <c:lblOffset val="100"/>
        <c:noMultiLvlLbl val="0"/>
      </c:catAx>
      <c:valAx>
        <c:axId val="173404928"/>
        <c:scaling>
          <c:orientation val="minMax"/>
        </c:scaling>
        <c:delete val="0"/>
        <c:axPos val="l"/>
        <c:majorGridlines/>
        <c:numFmt formatCode="General" sourceLinked="1"/>
        <c:majorTickMark val="out"/>
        <c:minorTickMark val="none"/>
        <c:tickLblPos val="nextTo"/>
        <c:crossAx val="17339494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Employee Percentage on given Salary range</a:t>
            </a:r>
          </a:p>
        </c:rich>
      </c:tx>
      <c:overlay val="0"/>
    </c:title>
    <c:autoTitleDeleted val="0"/>
    <c:view3D>
      <c:rotX val="15"/>
      <c:rotY val="50"/>
      <c:rAngAx val="0"/>
      <c:perspective val="30"/>
    </c:view3D>
    <c:floor>
      <c:thickness val="0"/>
    </c:floor>
    <c:sideWall>
      <c:thickness val="0"/>
    </c:sideWall>
    <c:backWall>
      <c:thickness val="0"/>
    </c:backWall>
    <c:plotArea>
      <c:layout>
        <c:manualLayout>
          <c:layoutTarget val="inner"/>
          <c:xMode val="edge"/>
          <c:yMode val="edge"/>
          <c:x val="5.6369389389132232E-2"/>
          <c:y val="0.17631414581832397"/>
          <c:w val="0.74618053436621634"/>
          <c:h val="0.63603713983155563"/>
        </c:manualLayout>
      </c:layout>
      <c:bar3DChart>
        <c:barDir val="col"/>
        <c:grouping val="standard"/>
        <c:varyColors val="0"/>
        <c:ser>
          <c:idx val="0"/>
          <c:order val="0"/>
          <c:tx>
            <c:strRef>
              <c:f>'2012'!$E$5</c:f>
              <c:strCache>
                <c:ptCount val="1"/>
                <c:pt idx="0">
                  <c:v>Total in the economy</c:v>
                </c:pt>
              </c:strCache>
            </c:strRef>
          </c:tx>
          <c:invertIfNegative val="0"/>
          <c:dLbls>
            <c:showLegendKey val="0"/>
            <c:showVal val="1"/>
            <c:showCatName val="0"/>
            <c:showSerName val="0"/>
            <c:showPercent val="0"/>
            <c:showBubbleSize val="0"/>
            <c:showLeaderLines val="0"/>
          </c:dLbls>
          <c:cat>
            <c:strRef>
              <c:f>'2012'!$F$4:$L$4</c:f>
              <c:strCache>
                <c:ptCount val="7"/>
                <c:pt idx="0">
                  <c:v>32,500</c:v>
                </c:pt>
                <c:pt idx="1">
                  <c:v>65,000</c:v>
                </c:pt>
                <c:pt idx="2">
                  <c:v>97,500</c:v>
                </c:pt>
                <c:pt idx="3">
                  <c:v>130,000</c:v>
                </c:pt>
                <c:pt idx="4">
                  <c:v>195,000</c:v>
                </c:pt>
                <c:pt idx="5">
                  <c:v>260,000</c:v>
                </c:pt>
                <c:pt idx="6">
                  <c:v>&gt;260,001</c:v>
                </c:pt>
              </c:strCache>
            </c:strRef>
          </c:cat>
          <c:val>
            <c:numRef>
              <c:f>'2012'!$F$5:$L$5</c:f>
              <c:numCache>
                <c:formatCode>General</c:formatCode>
                <c:ptCount val="7"/>
                <c:pt idx="0">
                  <c:v>2.8</c:v>
                </c:pt>
                <c:pt idx="1">
                  <c:v>37.9</c:v>
                </c:pt>
                <c:pt idx="2">
                  <c:v>24.3</c:v>
                </c:pt>
                <c:pt idx="3">
                  <c:v>13.6</c:v>
                </c:pt>
                <c:pt idx="4">
                  <c:v>9.9</c:v>
                </c:pt>
                <c:pt idx="5">
                  <c:v>5</c:v>
                </c:pt>
                <c:pt idx="6">
                  <c:v>6.5</c:v>
                </c:pt>
              </c:numCache>
            </c:numRef>
          </c:val>
        </c:ser>
        <c:ser>
          <c:idx val="1"/>
          <c:order val="1"/>
          <c:tx>
            <c:strRef>
              <c:f>'2012'!$E$7</c:f>
              <c:strCache>
                <c:ptCount val="1"/>
                <c:pt idx="0">
                  <c:v>Mining and quarrying</c:v>
                </c:pt>
              </c:strCache>
            </c:strRef>
          </c:tx>
          <c:invertIfNegative val="0"/>
          <c:dLbls>
            <c:showLegendKey val="0"/>
            <c:showVal val="1"/>
            <c:showCatName val="0"/>
            <c:showSerName val="0"/>
            <c:showPercent val="0"/>
            <c:showBubbleSize val="0"/>
            <c:showLeaderLines val="0"/>
          </c:dLbls>
          <c:cat>
            <c:strRef>
              <c:f>'2012'!$F$4:$L$4</c:f>
              <c:strCache>
                <c:ptCount val="7"/>
                <c:pt idx="0">
                  <c:v>32,500</c:v>
                </c:pt>
                <c:pt idx="1">
                  <c:v>65,000</c:v>
                </c:pt>
                <c:pt idx="2">
                  <c:v>97,500</c:v>
                </c:pt>
                <c:pt idx="3">
                  <c:v>130,000</c:v>
                </c:pt>
                <c:pt idx="4">
                  <c:v>195,000</c:v>
                </c:pt>
                <c:pt idx="5">
                  <c:v>260,000</c:v>
                </c:pt>
                <c:pt idx="6">
                  <c:v>&gt;260,001</c:v>
                </c:pt>
              </c:strCache>
            </c:strRef>
          </c:cat>
          <c:val>
            <c:numRef>
              <c:f>'2012'!$F$7:$L$7</c:f>
              <c:numCache>
                <c:formatCode>General</c:formatCode>
                <c:ptCount val="7"/>
                <c:pt idx="0">
                  <c:v>0</c:v>
                </c:pt>
                <c:pt idx="1">
                  <c:v>5.6</c:v>
                </c:pt>
                <c:pt idx="2">
                  <c:v>11.3</c:v>
                </c:pt>
                <c:pt idx="3">
                  <c:v>14.1</c:v>
                </c:pt>
                <c:pt idx="4">
                  <c:v>25.4</c:v>
                </c:pt>
                <c:pt idx="5">
                  <c:v>21.1</c:v>
                </c:pt>
                <c:pt idx="6">
                  <c:v>22.5</c:v>
                </c:pt>
              </c:numCache>
            </c:numRef>
          </c:val>
        </c:ser>
        <c:dLbls>
          <c:showLegendKey val="0"/>
          <c:showVal val="0"/>
          <c:showCatName val="0"/>
          <c:showSerName val="0"/>
          <c:showPercent val="0"/>
          <c:showBubbleSize val="0"/>
        </c:dLbls>
        <c:gapWidth val="150"/>
        <c:shape val="cylinder"/>
        <c:axId val="200698112"/>
        <c:axId val="200716288"/>
        <c:axId val="168007872"/>
      </c:bar3DChart>
      <c:catAx>
        <c:axId val="200698112"/>
        <c:scaling>
          <c:orientation val="minMax"/>
        </c:scaling>
        <c:delete val="0"/>
        <c:axPos val="b"/>
        <c:majorTickMark val="out"/>
        <c:minorTickMark val="none"/>
        <c:tickLblPos val="nextTo"/>
        <c:crossAx val="200716288"/>
        <c:crosses val="autoZero"/>
        <c:auto val="1"/>
        <c:lblAlgn val="ctr"/>
        <c:lblOffset val="100"/>
        <c:noMultiLvlLbl val="0"/>
      </c:catAx>
      <c:valAx>
        <c:axId val="200716288"/>
        <c:scaling>
          <c:orientation val="minMax"/>
        </c:scaling>
        <c:delete val="0"/>
        <c:axPos val="l"/>
        <c:majorGridlines/>
        <c:numFmt formatCode="General" sourceLinked="1"/>
        <c:majorTickMark val="out"/>
        <c:minorTickMark val="none"/>
        <c:tickLblPos val="nextTo"/>
        <c:crossAx val="200698112"/>
        <c:crosses val="autoZero"/>
        <c:crossBetween val="between"/>
      </c:valAx>
      <c:serAx>
        <c:axId val="168007872"/>
        <c:scaling>
          <c:orientation val="minMax"/>
        </c:scaling>
        <c:delete val="1"/>
        <c:axPos val="b"/>
        <c:majorTickMark val="out"/>
        <c:minorTickMark val="none"/>
        <c:tickLblPos val="none"/>
        <c:crossAx val="200716288"/>
        <c:crosses val="autoZero"/>
      </c:serAx>
    </c:plotArea>
    <c:legend>
      <c:legendPos val="r"/>
      <c:layout>
        <c:manualLayout>
          <c:xMode val="edge"/>
          <c:yMode val="edge"/>
          <c:x val="0.80523632751452556"/>
          <c:y val="0.1755420676582094"/>
          <c:w val="0.18174033302933382"/>
          <c:h val="0.55684978153241038"/>
        </c:manualLayout>
      </c:layout>
      <c:overlay val="0"/>
    </c:legend>
    <c:plotVisOnly val="1"/>
    <c:dispBlanksAs val="gap"/>
    <c:showDLblsOverMax val="0"/>
  </c:chart>
  <c:spPr>
    <a:ln>
      <a:solidFill>
        <a:schemeClr val="bg1"/>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Exports</a:t>
            </a:r>
            <a:r>
              <a:rPr lang="en-US" sz="1600" b="0" baseline="0"/>
              <a:t> and Mining Production Trends</a:t>
            </a:r>
            <a:endParaRPr lang="en-US" sz="1600" b="0"/>
          </a:p>
        </c:rich>
      </c:tx>
      <c:overlay val="0"/>
    </c:title>
    <c:autoTitleDeleted val="0"/>
    <c:plotArea>
      <c:layout/>
      <c:lineChart>
        <c:grouping val="standard"/>
        <c:varyColors val="0"/>
        <c:ser>
          <c:idx val="1"/>
          <c:order val="1"/>
          <c:tx>
            <c:strRef>
              <c:f>Sheet2!$E$2</c:f>
              <c:strCache>
                <c:ptCount val="1"/>
                <c:pt idx="0">
                  <c:v>Exports of goods and services (current US$)</c:v>
                </c:pt>
              </c:strCache>
            </c:strRef>
          </c:tx>
          <c:cat>
            <c:numRef>
              <c:f>Sheet2!$C$3:$C$16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Sheet2!$E$3:$E$16</c:f>
              <c:numCache>
                <c:formatCode>General</c:formatCode>
                <c:ptCount val="14"/>
                <c:pt idx="0">
                  <c:v>446833330.67106891</c:v>
                </c:pt>
                <c:pt idx="1">
                  <c:v>539539689.40294743</c:v>
                </c:pt>
                <c:pt idx="2">
                  <c:v>697610011.33687973</c:v>
                </c:pt>
                <c:pt idx="3">
                  <c:v>902544361.31796741</c:v>
                </c:pt>
                <c:pt idx="4">
                  <c:v>1063500421.782735</c:v>
                </c:pt>
                <c:pt idx="5">
                  <c:v>1411777622.4081802</c:v>
                </c:pt>
                <c:pt idx="6">
                  <c:v>1491344582.2517066</c:v>
                </c:pt>
                <c:pt idx="7">
                  <c:v>1766288264.9071517</c:v>
                </c:pt>
                <c:pt idx="8">
                  <c:v>1754799336.1427646</c:v>
                </c:pt>
                <c:pt idx="9">
                  <c:v>1338222263.4511414</c:v>
                </c:pt>
                <c:pt idx="10">
                  <c:v>1928926640.339731</c:v>
                </c:pt>
                <c:pt idx="11">
                  <c:v>2409501509.2925386</c:v>
                </c:pt>
                <c:pt idx="12">
                  <c:v>2447224249.460113</c:v>
                </c:pt>
                <c:pt idx="13">
                  <c:v>2815816760.3908606</c:v>
                </c:pt>
              </c:numCache>
            </c:numRef>
          </c:val>
          <c:smooth val="0"/>
        </c:ser>
        <c:dLbls>
          <c:showLegendKey val="0"/>
          <c:showVal val="0"/>
          <c:showCatName val="0"/>
          <c:showSerName val="0"/>
          <c:showPercent val="0"/>
          <c:showBubbleSize val="0"/>
        </c:dLbls>
        <c:marker val="1"/>
        <c:smooth val="0"/>
        <c:axId val="207100928"/>
        <c:axId val="207110912"/>
      </c:lineChart>
      <c:lineChart>
        <c:grouping val="standard"/>
        <c:varyColors val="0"/>
        <c:ser>
          <c:idx val="0"/>
          <c:order val="0"/>
          <c:tx>
            <c:strRef>
              <c:f>Sheet2!$D$2</c:f>
              <c:strCache>
                <c:ptCount val="1"/>
                <c:pt idx="0">
                  <c:v>Mining production</c:v>
                </c:pt>
              </c:strCache>
            </c:strRef>
          </c:tx>
          <c:cat>
            <c:numRef>
              <c:f>Sheet2!$C$3:$C$16</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Sheet2!$D$3:$D$16</c:f>
              <c:numCache>
                <c:formatCode>#,##0</c:formatCode>
                <c:ptCount val="14"/>
                <c:pt idx="0">
                  <c:v>7905.3</c:v>
                </c:pt>
                <c:pt idx="1">
                  <c:v>9856.7000000000007</c:v>
                </c:pt>
                <c:pt idx="2">
                  <c:v>15585.5</c:v>
                </c:pt>
                <c:pt idx="3">
                  <c:v>22347.5</c:v>
                </c:pt>
                <c:pt idx="4">
                  <c:v>61949.1</c:v>
                </c:pt>
                <c:pt idx="5">
                  <c:v>71503.8</c:v>
                </c:pt>
                <c:pt idx="6">
                  <c:v>68541.100000000006</c:v>
                </c:pt>
                <c:pt idx="7">
                  <c:v>70943.3</c:v>
                </c:pt>
                <c:pt idx="8">
                  <c:v>55490.8</c:v>
                </c:pt>
                <c:pt idx="9">
                  <c:v>52252.5</c:v>
                </c:pt>
                <c:pt idx="10">
                  <c:v>89251.199999999997</c:v>
                </c:pt>
                <c:pt idx="11">
                  <c:v>102846.5</c:v>
                </c:pt>
                <c:pt idx="12">
                  <c:v>114326.8</c:v>
                </c:pt>
                <c:pt idx="13">
                  <c:v>103461.6</c:v>
                </c:pt>
              </c:numCache>
            </c:numRef>
          </c:val>
          <c:smooth val="0"/>
        </c:ser>
        <c:dLbls>
          <c:showLegendKey val="0"/>
          <c:showVal val="0"/>
          <c:showCatName val="0"/>
          <c:showSerName val="0"/>
          <c:showPercent val="0"/>
          <c:showBubbleSize val="0"/>
        </c:dLbls>
        <c:marker val="1"/>
        <c:smooth val="0"/>
        <c:axId val="207115392"/>
        <c:axId val="207113600"/>
      </c:lineChart>
      <c:catAx>
        <c:axId val="207100928"/>
        <c:scaling>
          <c:orientation val="minMax"/>
        </c:scaling>
        <c:delete val="0"/>
        <c:axPos val="b"/>
        <c:numFmt formatCode="General" sourceLinked="1"/>
        <c:majorTickMark val="out"/>
        <c:minorTickMark val="none"/>
        <c:tickLblPos val="nextTo"/>
        <c:crossAx val="207110912"/>
        <c:crosses val="autoZero"/>
        <c:auto val="1"/>
        <c:lblAlgn val="ctr"/>
        <c:lblOffset val="100"/>
        <c:noMultiLvlLbl val="0"/>
      </c:catAx>
      <c:valAx>
        <c:axId val="207110912"/>
        <c:scaling>
          <c:orientation val="minMax"/>
        </c:scaling>
        <c:delete val="0"/>
        <c:axPos val="l"/>
        <c:majorGridlines/>
        <c:numFmt formatCode="General" sourceLinked="1"/>
        <c:majorTickMark val="out"/>
        <c:minorTickMark val="none"/>
        <c:tickLblPos val="nextTo"/>
        <c:crossAx val="207100928"/>
        <c:crosses val="autoZero"/>
        <c:crossBetween val="between"/>
        <c:dispUnits>
          <c:builtInUnit val="thousands"/>
          <c:dispUnitsLbl>
            <c:txPr>
              <a:bodyPr/>
              <a:lstStyle/>
              <a:p>
                <a:pPr>
                  <a:defRPr b="0"/>
                </a:pPr>
                <a:endParaRPr lang="en-US"/>
              </a:p>
            </c:txPr>
          </c:dispUnitsLbl>
        </c:dispUnits>
      </c:valAx>
      <c:valAx>
        <c:axId val="207113600"/>
        <c:scaling>
          <c:orientation val="minMax"/>
        </c:scaling>
        <c:delete val="0"/>
        <c:axPos val="r"/>
        <c:numFmt formatCode="#,##0" sourceLinked="1"/>
        <c:majorTickMark val="out"/>
        <c:minorTickMark val="none"/>
        <c:tickLblPos val="nextTo"/>
        <c:crossAx val="207115392"/>
        <c:crosses val="max"/>
        <c:crossBetween val="between"/>
      </c:valAx>
      <c:catAx>
        <c:axId val="207115392"/>
        <c:scaling>
          <c:orientation val="minMax"/>
        </c:scaling>
        <c:delete val="1"/>
        <c:axPos val="b"/>
        <c:numFmt formatCode="General" sourceLinked="1"/>
        <c:majorTickMark val="out"/>
        <c:minorTickMark val="none"/>
        <c:tickLblPos val="nextTo"/>
        <c:crossAx val="207113600"/>
        <c:crosses val="autoZero"/>
        <c:auto val="1"/>
        <c:lblAlgn val="ctr"/>
        <c:lblOffset val="100"/>
        <c:noMultiLvlLbl val="0"/>
      </c:cat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Foreign Direct Investment in USD</a:t>
            </a:r>
          </a:p>
        </c:rich>
      </c:tx>
      <c:overlay val="0"/>
    </c:title>
    <c:autoTitleDeleted val="0"/>
    <c:plotArea>
      <c:layout/>
      <c:lineChart>
        <c:grouping val="standard"/>
        <c:varyColors val="0"/>
        <c:ser>
          <c:idx val="0"/>
          <c:order val="0"/>
          <c:tx>
            <c:strRef>
              <c:f>Sheet1!$F$1</c:f>
              <c:strCache>
                <c:ptCount val="1"/>
                <c:pt idx="0">
                  <c:v>Foreign direct investment, net inflows (BoP, current US$)</c:v>
                </c:pt>
              </c:strCache>
            </c:strRef>
          </c:tx>
          <c:marker>
            <c:symbol val="none"/>
          </c:marker>
          <c:cat>
            <c:numRef>
              <c:f>Sheet1!$B$2:$B$19</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Sheet1!$F$2:$F$19</c:f>
              <c:numCache>
                <c:formatCode>General</c:formatCode>
                <c:ptCount val="18"/>
                <c:pt idx="0">
                  <c:v>17570000</c:v>
                </c:pt>
                <c:pt idx="1">
                  <c:v>51940000</c:v>
                </c:pt>
                <c:pt idx="2">
                  <c:v>220830000</c:v>
                </c:pt>
                <c:pt idx="3">
                  <c:v>122040000</c:v>
                </c:pt>
                <c:pt idx="4">
                  <c:v>104190000</c:v>
                </c:pt>
                <c:pt idx="5">
                  <c:v>69868500</c:v>
                </c:pt>
                <c:pt idx="6">
                  <c:v>110738700</c:v>
                </c:pt>
                <c:pt idx="7">
                  <c:v>120872200</c:v>
                </c:pt>
                <c:pt idx="8">
                  <c:v>247855451.612903</c:v>
                </c:pt>
                <c:pt idx="9">
                  <c:v>292073220.16472203</c:v>
                </c:pt>
                <c:pt idx="10">
                  <c:v>466531991.90172398</c:v>
                </c:pt>
                <c:pt idx="11">
                  <c:v>667671562.13449502</c:v>
                </c:pt>
                <c:pt idx="12">
                  <c:v>943733059.483284</c:v>
                </c:pt>
                <c:pt idx="13">
                  <c:v>760040745.87232995</c:v>
                </c:pt>
                <c:pt idx="14">
                  <c:v>529321391.641958</c:v>
                </c:pt>
                <c:pt idx="15">
                  <c:v>653219756.47224998</c:v>
                </c:pt>
                <c:pt idx="16">
                  <c:v>488776717.39410901</c:v>
                </c:pt>
                <c:pt idx="17">
                  <c:v>369972903.529984</c:v>
                </c:pt>
              </c:numCache>
            </c:numRef>
          </c:val>
          <c:smooth val="0"/>
        </c:ser>
        <c:dLbls>
          <c:showLegendKey val="0"/>
          <c:showVal val="0"/>
          <c:showCatName val="0"/>
          <c:showSerName val="0"/>
          <c:showPercent val="0"/>
          <c:showBubbleSize val="0"/>
        </c:dLbls>
        <c:marker val="1"/>
        <c:smooth val="0"/>
        <c:axId val="167700736"/>
        <c:axId val="167378944"/>
      </c:lineChart>
      <c:catAx>
        <c:axId val="167700736"/>
        <c:scaling>
          <c:orientation val="minMax"/>
        </c:scaling>
        <c:delete val="0"/>
        <c:axPos val="b"/>
        <c:numFmt formatCode="General" sourceLinked="1"/>
        <c:majorTickMark val="out"/>
        <c:minorTickMark val="none"/>
        <c:tickLblPos val="nextTo"/>
        <c:crossAx val="167378944"/>
        <c:crosses val="autoZero"/>
        <c:auto val="1"/>
        <c:lblAlgn val="ctr"/>
        <c:lblOffset val="100"/>
        <c:noMultiLvlLbl val="0"/>
      </c:catAx>
      <c:valAx>
        <c:axId val="167378944"/>
        <c:scaling>
          <c:orientation val="minMax"/>
        </c:scaling>
        <c:delete val="0"/>
        <c:axPos val="l"/>
        <c:majorGridlines/>
        <c:numFmt formatCode="General" sourceLinked="1"/>
        <c:majorTickMark val="out"/>
        <c:minorTickMark val="none"/>
        <c:tickLblPos val="nextTo"/>
        <c:crossAx val="167700736"/>
        <c:crosses val="autoZero"/>
        <c:crossBetween val="between"/>
        <c:dispUnits>
          <c:builtInUnit val="thousands"/>
          <c:dispUnitsLbl>
            <c:txPr>
              <a:bodyPr/>
              <a:lstStyle/>
              <a:p>
                <a:pPr>
                  <a:defRPr b="0"/>
                </a:pPr>
                <a:endParaRPr lang="en-US"/>
              </a:p>
            </c:txPr>
          </c:dispUnitsLbl>
        </c:dispUnits>
      </c:valAx>
    </c:plotArea>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Inflation Rate and FDI Trends</a:t>
            </a:r>
          </a:p>
        </c:rich>
      </c:tx>
      <c:overlay val="0"/>
    </c:title>
    <c:autoTitleDeleted val="0"/>
    <c:plotArea>
      <c:layout>
        <c:manualLayout>
          <c:layoutTarget val="inner"/>
          <c:xMode val="edge"/>
          <c:yMode val="edge"/>
          <c:x val="7.433989979151466E-2"/>
          <c:y val="0.1181939736092165"/>
          <c:w val="0.8998125546806649"/>
          <c:h val="0.70661049159571732"/>
        </c:manualLayout>
      </c:layout>
      <c:lineChart>
        <c:grouping val="standard"/>
        <c:varyColors val="0"/>
        <c:ser>
          <c:idx val="0"/>
          <c:order val="0"/>
          <c:tx>
            <c:strRef>
              <c:f>Sheet1!$C$1</c:f>
              <c:strCache>
                <c:ptCount val="1"/>
                <c:pt idx="0">
                  <c:v>Inflation, GDP deflator (annual %)</c:v>
                </c:pt>
              </c:strCache>
            </c:strRef>
          </c:tx>
          <c:marker>
            <c:symbol val="none"/>
          </c:marker>
          <c:cat>
            <c:numRef>
              <c:f>Sheet1!$B$2:$B$19</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Sheet1!$C$2:$C$19</c:f>
              <c:numCache>
                <c:formatCode>General</c:formatCode>
                <c:ptCount val="18"/>
                <c:pt idx="0">
                  <c:v>19.591770303754785</c:v>
                </c:pt>
                <c:pt idx="1">
                  <c:v>17.735994507459992</c:v>
                </c:pt>
                <c:pt idx="2">
                  <c:v>10.698497748079674</c:v>
                </c:pt>
                <c:pt idx="3">
                  <c:v>5.3804078495574004E-2</c:v>
                </c:pt>
                <c:pt idx="4">
                  <c:v>-1.3736759973722883</c:v>
                </c:pt>
                <c:pt idx="5">
                  <c:v>4.0691399397479557</c:v>
                </c:pt>
                <c:pt idx="6">
                  <c:v>2.3697878125225316</c:v>
                </c:pt>
                <c:pt idx="7">
                  <c:v>4.5610983976886956</c:v>
                </c:pt>
                <c:pt idx="8">
                  <c:v>6.3095327165958395</c:v>
                </c:pt>
                <c:pt idx="9">
                  <c:v>3.2398362509917717</c:v>
                </c:pt>
                <c:pt idx="10">
                  <c:v>4.6198576672921376</c:v>
                </c:pt>
                <c:pt idx="11">
                  <c:v>4.2327703824993819</c:v>
                </c:pt>
                <c:pt idx="12">
                  <c:v>5.9895623611132294</c:v>
                </c:pt>
                <c:pt idx="13">
                  <c:v>2.5569350520500365</c:v>
                </c:pt>
                <c:pt idx="14">
                  <c:v>7.7687154809033672</c:v>
                </c:pt>
                <c:pt idx="15">
                  <c:v>4.281549996940754</c:v>
                </c:pt>
                <c:pt idx="16">
                  <c:v>-1.2157085839251351</c:v>
                </c:pt>
                <c:pt idx="17">
                  <c:v>3.1913884471391043</c:v>
                </c:pt>
              </c:numCache>
            </c:numRef>
          </c:val>
          <c:smooth val="0"/>
        </c:ser>
        <c:ser>
          <c:idx val="1"/>
          <c:order val="1"/>
          <c:tx>
            <c:strRef>
              <c:f>Sheet1!$E$1</c:f>
              <c:strCache>
                <c:ptCount val="1"/>
                <c:pt idx="0">
                  <c:v>Foreign direct investment, net inflows (% of GDP)</c:v>
                </c:pt>
              </c:strCache>
            </c:strRef>
          </c:tx>
          <c:marker>
            <c:symbol val="none"/>
          </c:marker>
          <c:cat>
            <c:numRef>
              <c:f>Sheet1!$B$2:$B$19</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Sheet1!$E$2:$E$19</c:f>
              <c:numCache>
                <c:formatCode>General</c:formatCode>
                <c:ptCount val="18"/>
                <c:pt idx="0">
                  <c:v>1.1002092686250897</c:v>
                </c:pt>
                <c:pt idx="1">
                  <c:v>3.1680536748810781</c:v>
                </c:pt>
                <c:pt idx="2">
                  <c:v>11.661135190565417</c:v>
                </c:pt>
                <c:pt idx="3">
                  <c:v>6.6129058965918999</c:v>
                </c:pt>
                <c:pt idx="4">
                  <c:v>5.4505116353914227</c:v>
                </c:pt>
                <c:pt idx="5">
                  <c:v>3.2980674174369282</c:v>
                </c:pt>
                <c:pt idx="6">
                  <c:v>4.6600625646022591</c:v>
                </c:pt>
                <c:pt idx="7">
                  <c:v>4.3060054493212565</c:v>
                </c:pt>
                <c:pt idx="8">
                  <c:v>6.9298885944484105</c:v>
                </c:pt>
                <c:pt idx="9">
                  <c:v>5.9601467085118802</c:v>
                </c:pt>
                <c:pt idx="10">
                  <c:v>7.3073080060315432</c:v>
                </c:pt>
                <c:pt idx="11">
                  <c:v>7.2523319771908152</c:v>
                </c:pt>
                <c:pt idx="12">
                  <c:v>8.0923492091778204</c:v>
                </c:pt>
                <c:pt idx="13">
                  <c:v>8.788694552480889</c:v>
                </c:pt>
                <c:pt idx="14">
                  <c:v>5.7160363157190384</c:v>
                </c:pt>
                <c:pt idx="15">
                  <c:v>6.4405213991372428</c:v>
                </c:pt>
                <c:pt idx="16">
                  <c:v>4.9082749872262363</c:v>
                </c:pt>
                <c:pt idx="17">
                  <c:v>3.5464617499086017</c:v>
                </c:pt>
              </c:numCache>
            </c:numRef>
          </c:val>
          <c:smooth val="0"/>
        </c:ser>
        <c:dLbls>
          <c:showLegendKey val="0"/>
          <c:showVal val="0"/>
          <c:showCatName val="0"/>
          <c:showSerName val="0"/>
          <c:showPercent val="0"/>
          <c:showBubbleSize val="0"/>
        </c:dLbls>
        <c:marker val="1"/>
        <c:smooth val="0"/>
        <c:axId val="167400192"/>
        <c:axId val="167401728"/>
      </c:lineChart>
      <c:catAx>
        <c:axId val="167400192"/>
        <c:scaling>
          <c:orientation val="minMax"/>
        </c:scaling>
        <c:delete val="0"/>
        <c:axPos val="b"/>
        <c:numFmt formatCode="General" sourceLinked="1"/>
        <c:majorTickMark val="out"/>
        <c:minorTickMark val="none"/>
        <c:tickLblPos val="nextTo"/>
        <c:crossAx val="167401728"/>
        <c:crosses val="autoZero"/>
        <c:auto val="1"/>
        <c:lblAlgn val="ctr"/>
        <c:lblOffset val="100"/>
        <c:tickLblSkip val="2"/>
        <c:noMultiLvlLbl val="0"/>
      </c:catAx>
      <c:valAx>
        <c:axId val="167401728"/>
        <c:scaling>
          <c:orientation val="minMax"/>
        </c:scaling>
        <c:delete val="0"/>
        <c:axPos val="l"/>
        <c:majorGridlines/>
        <c:numFmt formatCode="General" sourceLinked="1"/>
        <c:majorTickMark val="out"/>
        <c:minorTickMark val="none"/>
        <c:tickLblPos val="nextTo"/>
        <c:crossAx val="167400192"/>
        <c:crosses val="autoZero"/>
        <c:crossBetween val="between"/>
      </c:valAx>
    </c:plotArea>
    <c:legend>
      <c:legendPos val="b"/>
      <c:overlay val="0"/>
    </c:legend>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Monthly Core Inflation with Respect to the Previous Month</a:t>
            </a:r>
          </a:p>
        </c:rich>
      </c:tx>
      <c:overlay val="0"/>
    </c:title>
    <c:autoTitleDeleted val="0"/>
    <c:plotArea>
      <c:layout/>
      <c:lineChart>
        <c:grouping val="standard"/>
        <c:varyColors val="0"/>
        <c:ser>
          <c:idx val="0"/>
          <c:order val="0"/>
          <c:tx>
            <c:strRef>
              <c:f>'core inflation'!$B$3</c:f>
              <c:strCache>
                <c:ptCount val="1"/>
                <c:pt idx="0">
                  <c:v>Core inflation (with respect to the previous month)</c:v>
                </c:pt>
              </c:strCache>
            </c:strRef>
          </c:tx>
          <c:marker>
            <c:symbol val="none"/>
          </c:marker>
          <c:cat>
            <c:strRef>
              <c:f>'core inflation'!$A$4:$A$91</c:f>
              <c:strCache>
                <c:ptCount val="88"/>
                <c:pt idx="0">
                  <c:v>2006/1</c:v>
                </c:pt>
                <c:pt idx="1">
                  <c:v>2006/2</c:v>
                </c:pt>
                <c:pt idx="2">
                  <c:v>2006/3</c:v>
                </c:pt>
                <c:pt idx="3">
                  <c:v>2006/4</c:v>
                </c:pt>
                <c:pt idx="4">
                  <c:v>2006/5</c:v>
                </c:pt>
                <c:pt idx="5">
                  <c:v>2006/6</c:v>
                </c:pt>
                <c:pt idx="6">
                  <c:v>2006/7</c:v>
                </c:pt>
                <c:pt idx="7">
                  <c:v>2006/8</c:v>
                </c:pt>
                <c:pt idx="8">
                  <c:v>2006/9</c:v>
                </c:pt>
                <c:pt idx="9">
                  <c:v>2006/10</c:v>
                </c:pt>
                <c:pt idx="10">
                  <c:v>2006/11</c:v>
                </c:pt>
                <c:pt idx="11">
                  <c:v>2006/12</c:v>
                </c:pt>
                <c:pt idx="12">
                  <c:v>2007/1</c:v>
                </c:pt>
                <c:pt idx="13">
                  <c:v>2007/2</c:v>
                </c:pt>
                <c:pt idx="14">
                  <c:v>2007/3</c:v>
                </c:pt>
                <c:pt idx="15">
                  <c:v>2007/4</c:v>
                </c:pt>
                <c:pt idx="16">
                  <c:v>2007/5</c:v>
                </c:pt>
                <c:pt idx="17">
                  <c:v>2007/6</c:v>
                </c:pt>
                <c:pt idx="18">
                  <c:v>2007/7</c:v>
                </c:pt>
                <c:pt idx="19">
                  <c:v>2007/8</c:v>
                </c:pt>
                <c:pt idx="20">
                  <c:v>2007/9</c:v>
                </c:pt>
                <c:pt idx="21">
                  <c:v>2007/10</c:v>
                </c:pt>
                <c:pt idx="22">
                  <c:v>2007/11</c:v>
                </c:pt>
                <c:pt idx="23">
                  <c:v>2007/12</c:v>
                </c:pt>
                <c:pt idx="24">
                  <c:v>2008/1</c:v>
                </c:pt>
                <c:pt idx="25">
                  <c:v>2008/2</c:v>
                </c:pt>
                <c:pt idx="26">
                  <c:v>2008/3</c:v>
                </c:pt>
                <c:pt idx="27">
                  <c:v>2008/4</c:v>
                </c:pt>
                <c:pt idx="28">
                  <c:v>2008/5</c:v>
                </c:pt>
                <c:pt idx="29">
                  <c:v>2008/6</c:v>
                </c:pt>
                <c:pt idx="30">
                  <c:v>2008/7</c:v>
                </c:pt>
                <c:pt idx="31">
                  <c:v>2008/8</c:v>
                </c:pt>
                <c:pt idx="32">
                  <c:v>2008/9</c:v>
                </c:pt>
                <c:pt idx="33">
                  <c:v>2008/10</c:v>
                </c:pt>
                <c:pt idx="34">
                  <c:v>2008/11</c:v>
                </c:pt>
                <c:pt idx="35">
                  <c:v>2008/12</c:v>
                </c:pt>
                <c:pt idx="36">
                  <c:v>2009/1</c:v>
                </c:pt>
                <c:pt idx="37">
                  <c:v>2009/2</c:v>
                </c:pt>
                <c:pt idx="38">
                  <c:v>2009/3</c:v>
                </c:pt>
                <c:pt idx="39">
                  <c:v>2009/4</c:v>
                </c:pt>
                <c:pt idx="40">
                  <c:v>2009/5</c:v>
                </c:pt>
                <c:pt idx="41">
                  <c:v>2009/6</c:v>
                </c:pt>
                <c:pt idx="42">
                  <c:v>2009/7</c:v>
                </c:pt>
                <c:pt idx="43">
                  <c:v>2009/8</c:v>
                </c:pt>
                <c:pt idx="44">
                  <c:v>2009/9</c:v>
                </c:pt>
                <c:pt idx="45">
                  <c:v>2009/10</c:v>
                </c:pt>
                <c:pt idx="46">
                  <c:v>2009/11</c:v>
                </c:pt>
                <c:pt idx="47">
                  <c:v>2009/12</c:v>
                </c:pt>
                <c:pt idx="48">
                  <c:v>2010/1</c:v>
                </c:pt>
                <c:pt idx="49">
                  <c:v>2010/2</c:v>
                </c:pt>
                <c:pt idx="50">
                  <c:v>2010/3</c:v>
                </c:pt>
                <c:pt idx="51">
                  <c:v>2010/4</c:v>
                </c:pt>
                <c:pt idx="52">
                  <c:v>2010/5</c:v>
                </c:pt>
                <c:pt idx="53">
                  <c:v>2010/6</c:v>
                </c:pt>
                <c:pt idx="54">
                  <c:v>2010/7</c:v>
                </c:pt>
                <c:pt idx="55">
                  <c:v>2010/8</c:v>
                </c:pt>
                <c:pt idx="56">
                  <c:v>2010/9</c:v>
                </c:pt>
                <c:pt idx="57">
                  <c:v>2010/10</c:v>
                </c:pt>
                <c:pt idx="58">
                  <c:v>2010/11</c:v>
                </c:pt>
                <c:pt idx="59">
                  <c:v>2010/12</c:v>
                </c:pt>
                <c:pt idx="60">
                  <c:v>2011/1</c:v>
                </c:pt>
                <c:pt idx="61">
                  <c:v>2011/2</c:v>
                </c:pt>
                <c:pt idx="62">
                  <c:v>2011/3</c:v>
                </c:pt>
                <c:pt idx="63">
                  <c:v>2011/4</c:v>
                </c:pt>
                <c:pt idx="64">
                  <c:v>2011/5</c:v>
                </c:pt>
                <c:pt idx="65">
                  <c:v>2011/6</c:v>
                </c:pt>
                <c:pt idx="66">
                  <c:v>2011/7</c:v>
                </c:pt>
                <c:pt idx="67">
                  <c:v>2011/8</c:v>
                </c:pt>
                <c:pt idx="68">
                  <c:v>2011/9</c:v>
                </c:pt>
                <c:pt idx="69">
                  <c:v>2011/10</c:v>
                </c:pt>
                <c:pt idx="70">
                  <c:v>2011/11</c:v>
                </c:pt>
                <c:pt idx="71">
                  <c:v>2011/12</c:v>
                </c:pt>
                <c:pt idx="72">
                  <c:v>2012/1</c:v>
                </c:pt>
                <c:pt idx="73">
                  <c:v>2012/2</c:v>
                </c:pt>
                <c:pt idx="74">
                  <c:v>2012/3</c:v>
                </c:pt>
                <c:pt idx="75">
                  <c:v>2012/4</c:v>
                </c:pt>
                <c:pt idx="76">
                  <c:v>2012/5</c:v>
                </c:pt>
                <c:pt idx="77">
                  <c:v>2012/6</c:v>
                </c:pt>
                <c:pt idx="78">
                  <c:v>2012/7</c:v>
                </c:pt>
                <c:pt idx="79">
                  <c:v>2012/8</c:v>
                </c:pt>
                <c:pt idx="80">
                  <c:v>2012/9</c:v>
                </c:pt>
                <c:pt idx="81">
                  <c:v>2012/10</c:v>
                </c:pt>
                <c:pt idx="82">
                  <c:v>2012/11</c:v>
                </c:pt>
                <c:pt idx="83">
                  <c:v>2012/12</c:v>
                </c:pt>
                <c:pt idx="84">
                  <c:v>2013/1</c:v>
                </c:pt>
                <c:pt idx="85">
                  <c:v>2013/2</c:v>
                </c:pt>
                <c:pt idx="86">
                  <c:v>2013/3</c:v>
                </c:pt>
                <c:pt idx="87">
                  <c:v>2013/4</c:v>
                </c:pt>
              </c:strCache>
            </c:strRef>
          </c:cat>
          <c:val>
            <c:numRef>
              <c:f>'core inflation'!$B$4:$B$91</c:f>
              <c:numCache>
                <c:formatCode>0.0</c:formatCode>
                <c:ptCount val="88"/>
                <c:pt idx="0">
                  <c:v>100.389871433528</c:v>
                </c:pt>
                <c:pt idx="1">
                  <c:v>99.745295097993093</c:v>
                </c:pt>
                <c:pt idx="2">
                  <c:v>100.044840729643</c:v>
                </c:pt>
                <c:pt idx="3">
                  <c:v>100.32985295234199</c:v>
                </c:pt>
                <c:pt idx="4">
                  <c:v>100.232065836386</c:v>
                </c:pt>
                <c:pt idx="5">
                  <c:v>99.958688762224696</c:v>
                </c:pt>
                <c:pt idx="6">
                  <c:v>100.775947178189</c:v>
                </c:pt>
                <c:pt idx="7">
                  <c:v>99.838240646151206</c:v>
                </c:pt>
                <c:pt idx="8">
                  <c:v>100.352577532575</c:v>
                </c:pt>
                <c:pt idx="9">
                  <c:v>100.21760360912501</c:v>
                </c:pt>
                <c:pt idx="10">
                  <c:v>100.20558342772701</c:v>
                </c:pt>
                <c:pt idx="11">
                  <c:v>100.04196049855901</c:v>
                </c:pt>
                <c:pt idx="12">
                  <c:v>100.190888224761</c:v>
                </c:pt>
                <c:pt idx="13">
                  <c:v>99.927362411941303</c:v>
                </c:pt>
                <c:pt idx="14">
                  <c:v>99.940346370165202</c:v>
                </c:pt>
                <c:pt idx="15">
                  <c:v>100.305212303982</c:v>
                </c:pt>
                <c:pt idx="16">
                  <c:v>100.27547085601</c:v>
                </c:pt>
                <c:pt idx="17">
                  <c:v>99.838995188081796</c:v>
                </c:pt>
                <c:pt idx="18">
                  <c:v>99.812853576400002</c:v>
                </c:pt>
                <c:pt idx="19">
                  <c:v>99.843472750889404</c:v>
                </c:pt>
                <c:pt idx="20">
                  <c:v>100.514446934679</c:v>
                </c:pt>
                <c:pt idx="21">
                  <c:v>100.798951252517</c:v>
                </c:pt>
                <c:pt idx="22">
                  <c:v>100.848276223559</c:v>
                </c:pt>
                <c:pt idx="23">
                  <c:v>100.304576208117</c:v>
                </c:pt>
                <c:pt idx="24">
                  <c:v>100.400704493559</c:v>
                </c:pt>
                <c:pt idx="25">
                  <c:v>100.83014701626099</c:v>
                </c:pt>
                <c:pt idx="26">
                  <c:v>100.662815076226</c:v>
                </c:pt>
                <c:pt idx="27">
                  <c:v>101.26</c:v>
                </c:pt>
                <c:pt idx="28">
                  <c:v>100.55</c:v>
                </c:pt>
                <c:pt idx="29">
                  <c:v>100.30344735824974</c:v>
                </c:pt>
                <c:pt idx="30">
                  <c:v>100.015</c:v>
                </c:pt>
                <c:pt idx="31">
                  <c:v>100.05754982852385</c:v>
                </c:pt>
                <c:pt idx="32">
                  <c:v>100.48173601873677</c:v>
                </c:pt>
                <c:pt idx="33">
                  <c:v>100.09680265754616</c:v>
                </c:pt>
                <c:pt idx="34">
                  <c:v>100.24517533999223</c:v>
                </c:pt>
                <c:pt idx="35">
                  <c:v>100.07855714662641</c:v>
                </c:pt>
                <c:pt idx="36">
                  <c:v>99.714036588051144</c:v>
                </c:pt>
                <c:pt idx="37">
                  <c:v>99.474716647287721</c:v>
                </c:pt>
                <c:pt idx="38">
                  <c:v>101.13708103729272</c:v>
                </c:pt>
                <c:pt idx="39">
                  <c:v>101.4617101068779</c:v>
                </c:pt>
                <c:pt idx="40">
                  <c:v>100.41222400039921</c:v>
                </c:pt>
                <c:pt idx="41">
                  <c:v>100.25047581977526</c:v>
                </c:pt>
                <c:pt idx="42">
                  <c:v>99.776393816255691</c:v>
                </c:pt>
                <c:pt idx="43">
                  <c:v>100.36877184671296</c:v>
                </c:pt>
                <c:pt idx="44">
                  <c:v>100.71928701810789</c:v>
                </c:pt>
                <c:pt idx="45">
                  <c:v>100.47908955340274</c:v>
                </c:pt>
                <c:pt idx="46">
                  <c:v>100.62112151781332</c:v>
                </c:pt>
                <c:pt idx="47">
                  <c:v>100.60798686797249</c:v>
                </c:pt>
                <c:pt idx="48">
                  <c:v>100.5</c:v>
                </c:pt>
                <c:pt idx="49">
                  <c:v>100.7</c:v>
                </c:pt>
                <c:pt idx="50">
                  <c:v>100.8</c:v>
                </c:pt>
                <c:pt idx="51">
                  <c:v>100.69820294052198</c:v>
                </c:pt>
                <c:pt idx="52">
                  <c:v>100.04</c:v>
                </c:pt>
                <c:pt idx="53">
                  <c:v>99.783875868856981</c:v>
                </c:pt>
                <c:pt idx="54">
                  <c:v>99.576797127240553</c:v>
                </c:pt>
                <c:pt idx="55">
                  <c:v>100.17000892411906</c:v>
                </c:pt>
                <c:pt idx="56" formatCode="0.00">
                  <c:v>100.63</c:v>
                </c:pt>
                <c:pt idx="57" formatCode="0.00">
                  <c:v>101.21</c:v>
                </c:pt>
                <c:pt idx="58" formatCode="0.00">
                  <c:v>101.18</c:v>
                </c:pt>
                <c:pt idx="59" formatCode="0.00">
                  <c:v>100.63</c:v>
                </c:pt>
                <c:pt idx="60">
                  <c:v>100.71347137222872</c:v>
                </c:pt>
                <c:pt idx="61">
                  <c:v>100.42459879401468</c:v>
                </c:pt>
                <c:pt idx="62">
                  <c:v>100.64101937894792</c:v>
                </c:pt>
                <c:pt idx="63">
                  <c:v>100.45391970107819</c:v>
                </c:pt>
                <c:pt idx="64">
                  <c:v>100.32171301349264</c:v>
                </c:pt>
                <c:pt idx="65">
                  <c:v>100.37308447919297</c:v>
                </c:pt>
                <c:pt idx="66">
                  <c:v>100.2068047183469</c:v>
                </c:pt>
                <c:pt idx="67">
                  <c:v>100.2653209883816</c:v>
                </c:pt>
                <c:pt idx="68">
                  <c:v>100.41733036166887</c:v>
                </c:pt>
                <c:pt idx="69">
                  <c:v>100.36296546729669</c:v>
                </c:pt>
                <c:pt idx="70">
                  <c:v>100.41</c:v>
                </c:pt>
                <c:pt idx="71">
                  <c:v>100.55</c:v>
                </c:pt>
                <c:pt idx="72">
                  <c:v>100.65</c:v>
                </c:pt>
                <c:pt idx="73">
                  <c:v>100.08</c:v>
                </c:pt>
                <c:pt idx="74">
                  <c:v>100.04</c:v>
                </c:pt>
                <c:pt idx="75">
                  <c:v>100.02</c:v>
                </c:pt>
                <c:pt idx="76">
                  <c:v>99.84</c:v>
                </c:pt>
                <c:pt idx="77">
                  <c:v>100.35</c:v>
                </c:pt>
                <c:pt idx="78">
                  <c:v>100.13552352878894</c:v>
                </c:pt>
                <c:pt idx="79">
                  <c:v>99.936191713862627</c:v>
                </c:pt>
                <c:pt idx="80">
                  <c:v>100.6654421724908</c:v>
                </c:pt>
                <c:pt idx="81">
                  <c:v>100.73</c:v>
                </c:pt>
                <c:pt idx="82">
                  <c:v>100.3725389520818</c:v>
                </c:pt>
                <c:pt idx="83">
                  <c:v>100.58</c:v>
                </c:pt>
                <c:pt idx="84">
                  <c:v>100.78686320497265</c:v>
                </c:pt>
                <c:pt idx="85">
                  <c:v>100.21</c:v>
                </c:pt>
                <c:pt idx="86">
                  <c:v>100.53</c:v>
                </c:pt>
                <c:pt idx="87">
                  <c:v>100.51</c:v>
                </c:pt>
              </c:numCache>
            </c:numRef>
          </c:val>
          <c:smooth val="0"/>
        </c:ser>
        <c:dLbls>
          <c:showLegendKey val="0"/>
          <c:showVal val="0"/>
          <c:showCatName val="0"/>
          <c:showSerName val="0"/>
          <c:showPercent val="0"/>
          <c:showBubbleSize val="0"/>
        </c:dLbls>
        <c:marker val="1"/>
        <c:smooth val="0"/>
        <c:axId val="128920576"/>
        <c:axId val="167420672"/>
      </c:lineChart>
      <c:catAx>
        <c:axId val="128920576"/>
        <c:scaling>
          <c:orientation val="minMax"/>
        </c:scaling>
        <c:delete val="0"/>
        <c:axPos val="b"/>
        <c:majorTickMark val="out"/>
        <c:minorTickMark val="none"/>
        <c:tickLblPos val="nextTo"/>
        <c:crossAx val="167420672"/>
        <c:crosses val="autoZero"/>
        <c:auto val="1"/>
        <c:lblAlgn val="ctr"/>
        <c:lblOffset val="100"/>
        <c:noMultiLvlLbl val="0"/>
      </c:catAx>
      <c:valAx>
        <c:axId val="167420672"/>
        <c:scaling>
          <c:orientation val="minMax"/>
        </c:scaling>
        <c:delete val="0"/>
        <c:axPos val="l"/>
        <c:majorGridlines/>
        <c:numFmt formatCode="0.0" sourceLinked="1"/>
        <c:majorTickMark val="out"/>
        <c:minorTickMark val="none"/>
        <c:tickLblPos val="nextTo"/>
        <c:crossAx val="128920576"/>
        <c:crosses val="autoZero"/>
        <c:crossBetween val="between"/>
      </c:valAx>
    </c:plotArea>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a:t>Manufacturing, Value Added (% of GDP)</a:t>
            </a:r>
          </a:p>
        </c:rich>
      </c:tx>
      <c:overlay val="0"/>
    </c:title>
    <c:autoTitleDeleted val="0"/>
    <c:plotArea>
      <c:layout/>
      <c:lineChart>
        <c:grouping val="standard"/>
        <c:varyColors val="0"/>
        <c:ser>
          <c:idx val="0"/>
          <c:order val="0"/>
          <c:tx>
            <c:strRef>
              <c:f>Data!$A$7</c:f>
              <c:strCache>
                <c:ptCount val="1"/>
                <c:pt idx="0">
                  <c:v>Manufacturing, value added (% of GDP)</c:v>
                </c:pt>
              </c:strCache>
            </c:strRef>
          </c:tx>
          <c:marker>
            <c:symbol val="none"/>
          </c:marker>
          <c:cat>
            <c:numRef>
              <c:f>Data!$B$8:$Y$8</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Data!$B$7:$Y$7</c:f>
              <c:numCache>
                <c:formatCode>General</c:formatCode>
                <c:ptCount val="24"/>
                <c:pt idx="0">
                  <c:v>32.785822347093145</c:v>
                </c:pt>
                <c:pt idx="1">
                  <c:v>37.327494692144377</c:v>
                </c:pt>
                <c:pt idx="2">
                  <c:v>33.13308038223721</c:v>
                </c:pt>
                <c:pt idx="3">
                  <c:v>22.855080598288954</c:v>
                </c:pt>
                <c:pt idx="4">
                  <c:v>30.075332763976633</c:v>
                </c:pt>
                <c:pt idx="5">
                  <c:v>25.199087886462422</c:v>
                </c:pt>
                <c:pt idx="6">
                  <c:v>24.794476187938596</c:v>
                </c:pt>
                <c:pt idx="7">
                  <c:v>24.411923666374605</c:v>
                </c:pt>
                <c:pt idx="8">
                  <c:v>21.919176074188705</c:v>
                </c:pt>
                <c:pt idx="9">
                  <c:v>23.122926420801832</c:v>
                </c:pt>
                <c:pt idx="10">
                  <c:v>18.530125228683847</c:v>
                </c:pt>
                <c:pt idx="11">
                  <c:v>17.355271067110955</c:v>
                </c:pt>
                <c:pt idx="12">
                  <c:v>16.738312097573438</c:v>
                </c:pt>
                <c:pt idx="13">
                  <c:v>16.840228407630271</c:v>
                </c:pt>
                <c:pt idx="14">
                  <c:v>14.805295696202823</c:v>
                </c:pt>
                <c:pt idx="15">
                  <c:v>14.819421656620783</c:v>
                </c:pt>
                <c:pt idx="16">
                  <c:v>11.853830487779543</c:v>
                </c:pt>
                <c:pt idx="17">
                  <c:v>10.413968446523569</c:v>
                </c:pt>
                <c:pt idx="18">
                  <c:v>9.9751361492087778</c:v>
                </c:pt>
                <c:pt idx="19">
                  <c:v>9.7223944305805592</c:v>
                </c:pt>
                <c:pt idx="20">
                  <c:v>10.911728301717718</c:v>
                </c:pt>
                <c:pt idx="21">
                  <c:v>11.863228363923719</c:v>
                </c:pt>
                <c:pt idx="22">
                  <c:v>11.222322663251589</c:v>
                </c:pt>
                <c:pt idx="23">
                  <c:v>11.407214324362641</c:v>
                </c:pt>
              </c:numCache>
            </c:numRef>
          </c:val>
          <c:smooth val="0"/>
        </c:ser>
        <c:dLbls>
          <c:showLegendKey val="0"/>
          <c:showVal val="0"/>
          <c:showCatName val="0"/>
          <c:showSerName val="0"/>
          <c:showPercent val="0"/>
          <c:showBubbleSize val="0"/>
        </c:dLbls>
        <c:marker val="1"/>
        <c:smooth val="0"/>
        <c:axId val="167588992"/>
        <c:axId val="167590528"/>
      </c:lineChart>
      <c:catAx>
        <c:axId val="167588992"/>
        <c:scaling>
          <c:orientation val="minMax"/>
        </c:scaling>
        <c:delete val="0"/>
        <c:axPos val="b"/>
        <c:numFmt formatCode="General" sourceLinked="1"/>
        <c:majorTickMark val="out"/>
        <c:minorTickMark val="none"/>
        <c:tickLblPos val="nextTo"/>
        <c:crossAx val="167590528"/>
        <c:crosses val="autoZero"/>
        <c:auto val="1"/>
        <c:lblAlgn val="ctr"/>
        <c:lblOffset val="100"/>
        <c:noMultiLvlLbl val="0"/>
      </c:catAx>
      <c:valAx>
        <c:axId val="167590528"/>
        <c:scaling>
          <c:orientation val="minMax"/>
        </c:scaling>
        <c:delete val="0"/>
        <c:axPos val="l"/>
        <c:majorGridlines/>
        <c:numFmt formatCode="General" sourceLinked="1"/>
        <c:majorTickMark val="out"/>
        <c:minorTickMark val="none"/>
        <c:tickLblPos val="nextTo"/>
        <c:crossAx val="167588992"/>
        <c:crosses val="autoZero"/>
        <c:crossBetween val="between"/>
      </c:valAx>
    </c:plotArea>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0"/>
            </a:pPr>
            <a:r>
              <a:rPr lang="en-US" sz="1600" b="0"/>
              <a:t>Density of Employees Recieving a Given Salary, 2010</a:t>
            </a:r>
          </a:p>
        </c:rich>
      </c:tx>
      <c:overlay val="0"/>
    </c:title>
    <c:autoTitleDeleted val="0"/>
    <c:plotArea>
      <c:layout>
        <c:manualLayout>
          <c:layoutTarget val="inner"/>
          <c:xMode val="edge"/>
          <c:yMode val="edge"/>
          <c:x val="5.0968919586551087E-2"/>
          <c:y val="0.21056813690414095"/>
          <c:w val="0.5618453814562957"/>
          <c:h val="0.75478772511749748"/>
        </c:manualLayout>
      </c:layout>
      <c:scatterChart>
        <c:scatterStyle val="smoothMarker"/>
        <c:varyColors val="0"/>
        <c:ser>
          <c:idx val="0"/>
          <c:order val="0"/>
          <c:tx>
            <c:strRef>
              <c:f>'2010'!$B$5</c:f>
              <c:strCache>
                <c:ptCount val="1"/>
                <c:pt idx="0">
                  <c:v>Agriculture </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'2010'!$C$5:$N$5</c:f>
              <c:numCache>
                <c:formatCode>General</c:formatCode>
                <c:ptCount val="12"/>
                <c:pt idx="0">
                  <c:v>0.3</c:v>
                </c:pt>
                <c:pt idx="1">
                  <c:v>53.5</c:v>
                </c:pt>
                <c:pt idx="2">
                  <c:v>22.6</c:v>
                </c:pt>
                <c:pt idx="3">
                  <c:v>10.3</c:v>
                </c:pt>
                <c:pt idx="4">
                  <c:v>10.5</c:v>
                </c:pt>
                <c:pt idx="5">
                  <c:v>1.6</c:v>
                </c:pt>
                <c:pt idx="6">
                  <c:v>0.3</c:v>
                </c:pt>
                <c:pt idx="7">
                  <c:v>0.6</c:v>
                </c:pt>
                <c:pt idx="8">
                  <c:v>0.3</c:v>
                </c:pt>
                <c:pt idx="9">
                  <c:v>0</c:v>
                </c:pt>
                <c:pt idx="10">
                  <c:v>0</c:v>
                </c:pt>
                <c:pt idx="11">
                  <c:v>0</c:v>
                </c:pt>
              </c:numCache>
            </c:numRef>
          </c:yVal>
          <c:smooth val="1"/>
        </c:ser>
        <c:ser>
          <c:idx val="1"/>
          <c:order val="1"/>
          <c:tx>
            <c:strRef>
              <c:f>'2010'!$B$6</c:f>
              <c:strCache>
                <c:ptCount val="1"/>
                <c:pt idx="0">
                  <c:v>Mining </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'2010'!$C$6:$N$6</c:f>
              <c:numCache>
                <c:formatCode>General</c:formatCode>
                <c:ptCount val="12"/>
                <c:pt idx="0">
                  <c:v>0</c:v>
                </c:pt>
                <c:pt idx="1">
                  <c:v>3.9</c:v>
                </c:pt>
                <c:pt idx="2">
                  <c:v>10.6</c:v>
                </c:pt>
                <c:pt idx="3">
                  <c:v>12.2</c:v>
                </c:pt>
                <c:pt idx="4">
                  <c:v>32.5</c:v>
                </c:pt>
                <c:pt idx="5">
                  <c:v>17.2</c:v>
                </c:pt>
                <c:pt idx="6">
                  <c:v>9.6</c:v>
                </c:pt>
                <c:pt idx="7">
                  <c:v>6.9</c:v>
                </c:pt>
                <c:pt idx="8">
                  <c:v>3.6</c:v>
                </c:pt>
                <c:pt idx="9">
                  <c:v>0.7</c:v>
                </c:pt>
                <c:pt idx="10">
                  <c:v>1.3</c:v>
                </c:pt>
                <c:pt idx="11">
                  <c:v>1.5</c:v>
                </c:pt>
              </c:numCache>
            </c:numRef>
          </c:yVal>
          <c:smooth val="1"/>
        </c:ser>
        <c:ser>
          <c:idx val="2"/>
          <c:order val="2"/>
          <c:tx>
            <c:strRef>
              <c:f>'2010'!$B$7</c:f>
              <c:strCache>
                <c:ptCount val="1"/>
                <c:pt idx="0">
                  <c:v>Manufacturing</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'2010'!$C$7:$N$7</c:f>
              <c:numCache>
                <c:formatCode>General</c:formatCode>
                <c:ptCount val="12"/>
                <c:pt idx="0">
                  <c:v>0.9</c:v>
                </c:pt>
                <c:pt idx="1">
                  <c:v>34.200000000000003</c:v>
                </c:pt>
                <c:pt idx="2">
                  <c:v>24.7</c:v>
                </c:pt>
                <c:pt idx="3">
                  <c:v>14.7</c:v>
                </c:pt>
                <c:pt idx="4">
                  <c:v>13.6</c:v>
                </c:pt>
                <c:pt idx="5">
                  <c:v>4.9000000000000004</c:v>
                </c:pt>
                <c:pt idx="6">
                  <c:v>2.7</c:v>
                </c:pt>
                <c:pt idx="7">
                  <c:v>2.6</c:v>
                </c:pt>
                <c:pt idx="8">
                  <c:v>0.9</c:v>
                </c:pt>
                <c:pt idx="9">
                  <c:v>0.4</c:v>
                </c:pt>
                <c:pt idx="10">
                  <c:v>0.2</c:v>
                </c:pt>
                <c:pt idx="11">
                  <c:v>0.4</c:v>
                </c:pt>
              </c:numCache>
            </c:numRef>
          </c:yVal>
          <c:smooth val="1"/>
        </c:ser>
        <c:ser>
          <c:idx val="3"/>
          <c:order val="3"/>
          <c:tx>
            <c:strRef>
              <c:f>'2010'!$B$9</c:f>
              <c:strCache>
                <c:ptCount val="1"/>
                <c:pt idx="0">
                  <c:v>Construction</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'2010'!$C$9:$N$9</c:f>
              <c:numCache>
                <c:formatCode>General</c:formatCode>
                <c:ptCount val="12"/>
                <c:pt idx="0">
                  <c:v>0.5</c:v>
                </c:pt>
                <c:pt idx="1">
                  <c:v>11.5</c:v>
                </c:pt>
                <c:pt idx="2">
                  <c:v>18.899999999999999</c:v>
                </c:pt>
                <c:pt idx="3">
                  <c:v>23.2</c:v>
                </c:pt>
                <c:pt idx="4">
                  <c:v>18.7</c:v>
                </c:pt>
                <c:pt idx="5">
                  <c:v>15.8</c:v>
                </c:pt>
                <c:pt idx="6">
                  <c:v>3.9</c:v>
                </c:pt>
                <c:pt idx="7">
                  <c:v>5.3</c:v>
                </c:pt>
                <c:pt idx="8">
                  <c:v>1.2</c:v>
                </c:pt>
                <c:pt idx="9">
                  <c:v>0.5</c:v>
                </c:pt>
                <c:pt idx="10">
                  <c:v>0.1</c:v>
                </c:pt>
                <c:pt idx="11">
                  <c:v>0.3</c:v>
                </c:pt>
              </c:numCache>
            </c:numRef>
          </c:yVal>
          <c:smooth val="1"/>
        </c:ser>
        <c:ser>
          <c:idx val="4"/>
          <c:order val="4"/>
          <c:tx>
            <c:strRef>
              <c:f>'2010'!$B$13</c:f>
              <c:strCache>
                <c:ptCount val="1"/>
                <c:pt idx="0">
                  <c:v>Financial/insurance activities</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'2010'!$C$13:$N$13</c:f>
              <c:numCache>
                <c:formatCode>General</c:formatCode>
                <c:ptCount val="12"/>
                <c:pt idx="0">
                  <c:v>0.8</c:v>
                </c:pt>
                <c:pt idx="1">
                  <c:v>8.9</c:v>
                </c:pt>
                <c:pt idx="2">
                  <c:v>10.199999999999999</c:v>
                </c:pt>
                <c:pt idx="3">
                  <c:v>12.1</c:v>
                </c:pt>
                <c:pt idx="4">
                  <c:v>18.899999999999999</c:v>
                </c:pt>
                <c:pt idx="5">
                  <c:v>13.9</c:v>
                </c:pt>
                <c:pt idx="6">
                  <c:v>9.1999999999999993</c:v>
                </c:pt>
                <c:pt idx="7">
                  <c:v>10.8</c:v>
                </c:pt>
                <c:pt idx="8">
                  <c:v>5.4</c:v>
                </c:pt>
                <c:pt idx="9">
                  <c:v>3.2</c:v>
                </c:pt>
                <c:pt idx="10">
                  <c:v>2.2000000000000002</c:v>
                </c:pt>
                <c:pt idx="11">
                  <c:v>4.4000000000000004</c:v>
                </c:pt>
              </c:numCache>
            </c:numRef>
          </c:yVal>
          <c:smooth val="1"/>
        </c:ser>
        <c:ser>
          <c:idx val="5"/>
          <c:order val="5"/>
          <c:tx>
            <c:strRef>
              <c:f>'2010'!$B$17</c:f>
              <c:strCache>
                <c:ptCount val="1"/>
                <c:pt idx="0">
                  <c:v>Average industry</c:v>
                </c:pt>
              </c:strCache>
            </c:strRef>
          </c:tx>
          <c:xVal>
            <c:numRef>
              <c:f>'2010'!$C$4:$N$4</c:f>
              <c:numCache>
                <c:formatCode>General</c:formatCode>
                <c:ptCount val="12"/>
                <c:pt idx="0">
                  <c:v>30000</c:v>
                </c:pt>
                <c:pt idx="1">
                  <c:v>45000</c:v>
                </c:pt>
                <c:pt idx="2">
                  <c:v>75000</c:v>
                </c:pt>
                <c:pt idx="3">
                  <c:v>105000</c:v>
                </c:pt>
                <c:pt idx="4">
                  <c:v>150000</c:v>
                </c:pt>
                <c:pt idx="5">
                  <c:v>210000</c:v>
                </c:pt>
                <c:pt idx="6">
                  <c:v>270000</c:v>
                </c:pt>
                <c:pt idx="7">
                  <c:v>375000</c:v>
                </c:pt>
                <c:pt idx="8">
                  <c:v>525000</c:v>
                </c:pt>
                <c:pt idx="9">
                  <c:v>675000</c:v>
                </c:pt>
                <c:pt idx="10">
                  <c:v>825000</c:v>
                </c:pt>
                <c:pt idx="11">
                  <c:v>975000</c:v>
                </c:pt>
              </c:numCache>
            </c:numRef>
          </c:xVal>
          <c:yVal>
            <c:numRef>
              <c:f>'2010'!$C$17:$N$17</c:f>
              <c:numCache>
                <c:formatCode>General</c:formatCode>
                <c:ptCount val="12"/>
                <c:pt idx="0">
                  <c:v>2.9</c:v>
                </c:pt>
                <c:pt idx="1">
                  <c:v>35.9</c:v>
                </c:pt>
                <c:pt idx="2">
                  <c:v>24</c:v>
                </c:pt>
                <c:pt idx="3">
                  <c:v>15.1</c:v>
                </c:pt>
                <c:pt idx="4">
                  <c:v>10.7</c:v>
                </c:pt>
                <c:pt idx="5">
                  <c:v>4.8</c:v>
                </c:pt>
                <c:pt idx="6">
                  <c:v>2.2999999999999998</c:v>
                </c:pt>
                <c:pt idx="7">
                  <c:v>2.2999999999999998</c:v>
                </c:pt>
                <c:pt idx="8">
                  <c:v>0.9</c:v>
                </c:pt>
                <c:pt idx="9">
                  <c:v>0.4</c:v>
                </c:pt>
                <c:pt idx="10">
                  <c:v>0.3</c:v>
                </c:pt>
                <c:pt idx="11">
                  <c:v>0.4</c:v>
                </c:pt>
              </c:numCache>
            </c:numRef>
          </c:yVal>
          <c:smooth val="1"/>
        </c:ser>
        <c:dLbls>
          <c:showLegendKey val="0"/>
          <c:showVal val="0"/>
          <c:showCatName val="0"/>
          <c:showSerName val="0"/>
          <c:showPercent val="0"/>
          <c:showBubbleSize val="0"/>
        </c:dLbls>
        <c:axId val="167708160"/>
        <c:axId val="167709696"/>
      </c:scatterChart>
      <c:valAx>
        <c:axId val="167708160"/>
        <c:scaling>
          <c:orientation val="minMax"/>
          <c:max val="600000"/>
        </c:scaling>
        <c:delete val="0"/>
        <c:axPos val="b"/>
        <c:majorGridlines/>
        <c:numFmt formatCode="General" sourceLinked="1"/>
        <c:majorTickMark val="out"/>
        <c:minorTickMark val="none"/>
        <c:tickLblPos val="nextTo"/>
        <c:crossAx val="167709696"/>
        <c:crosses val="autoZero"/>
        <c:crossBetween val="midCat"/>
      </c:valAx>
      <c:valAx>
        <c:axId val="167709696"/>
        <c:scaling>
          <c:orientation val="minMax"/>
        </c:scaling>
        <c:delete val="0"/>
        <c:axPos val="l"/>
        <c:majorGridlines/>
        <c:numFmt formatCode="General" sourceLinked="1"/>
        <c:majorTickMark val="out"/>
        <c:minorTickMark val="none"/>
        <c:tickLblPos val="nextTo"/>
        <c:crossAx val="167708160"/>
        <c:crosses val="autoZero"/>
        <c:crossBetween val="midCat"/>
      </c:valAx>
    </c:plotArea>
    <c:legend>
      <c:legendPos val="r"/>
      <c:overlay val="0"/>
    </c:legend>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b="0"/>
            </a:pPr>
            <a:r>
              <a:rPr lang="en-US" sz="1600" b="0"/>
              <a:t>Mining Production and its Shares of GDP Trend </a:t>
            </a:r>
          </a:p>
        </c:rich>
      </c:tx>
      <c:layout>
        <c:manualLayout>
          <c:xMode val="edge"/>
          <c:yMode val="edge"/>
          <c:x val="0.14868066491688539"/>
          <c:y val="5.3921355702725079E-6"/>
        </c:manualLayout>
      </c:layout>
      <c:overlay val="0"/>
    </c:title>
    <c:autoTitleDeleted val="0"/>
    <c:plotArea>
      <c:layout/>
      <c:lineChart>
        <c:grouping val="standard"/>
        <c:varyColors val="0"/>
        <c:ser>
          <c:idx val="0"/>
          <c:order val="0"/>
          <c:tx>
            <c:strRef>
              <c:f>Sheet1!$B$3</c:f>
              <c:strCache>
                <c:ptCount val="1"/>
                <c:pt idx="0">
                  <c:v>Mining production</c:v>
                </c:pt>
              </c:strCache>
            </c:strRef>
          </c:tx>
          <c:cat>
            <c:numRef>
              <c:f>Sheet1!$C$2:$P$2</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Sheet1!$C$3:$P$3</c:f>
              <c:numCache>
                <c:formatCode>#,##0</c:formatCode>
                <c:ptCount val="14"/>
                <c:pt idx="0">
                  <c:v>7905.3</c:v>
                </c:pt>
                <c:pt idx="1">
                  <c:v>9856.7000000000007</c:v>
                </c:pt>
                <c:pt idx="2">
                  <c:v>15585.5</c:v>
                </c:pt>
                <c:pt idx="3">
                  <c:v>22347.5</c:v>
                </c:pt>
                <c:pt idx="4">
                  <c:v>61949.1</c:v>
                </c:pt>
                <c:pt idx="5">
                  <c:v>71503.8</c:v>
                </c:pt>
                <c:pt idx="6">
                  <c:v>68541.100000000006</c:v>
                </c:pt>
                <c:pt idx="7">
                  <c:v>70943.3</c:v>
                </c:pt>
                <c:pt idx="8">
                  <c:v>55490.8</c:v>
                </c:pt>
                <c:pt idx="9">
                  <c:v>52252.5</c:v>
                </c:pt>
                <c:pt idx="10">
                  <c:v>89251.199999999997</c:v>
                </c:pt>
                <c:pt idx="11">
                  <c:v>102846.5</c:v>
                </c:pt>
                <c:pt idx="12">
                  <c:v>114326.8</c:v>
                </c:pt>
                <c:pt idx="13">
                  <c:v>103461.6</c:v>
                </c:pt>
              </c:numCache>
            </c:numRef>
          </c:val>
          <c:smooth val="0"/>
        </c:ser>
        <c:dLbls>
          <c:showLegendKey val="0"/>
          <c:showVal val="0"/>
          <c:showCatName val="0"/>
          <c:showSerName val="0"/>
          <c:showPercent val="0"/>
          <c:showBubbleSize val="0"/>
        </c:dLbls>
        <c:marker val="1"/>
        <c:smooth val="0"/>
        <c:axId val="167732736"/>
        <c:axId val="167734272"/>
      </c:lineChart>
      <c:lineChart>
        <c:grouping val="standard"/>
        <c:varyColors val="0"/>
        <c:ser>
          <c:idx val="1"/>
          <c:order val="1"/>
          <c:tx>
            <c:strRef>
              <c:f>Sheet1!$B$4</c:f>
              <c:strCache>
                <c:ptCount val="1"/>
                <c:pt idx="0">
                  <c:v>Share of GDP</c:v>
                </c:pt>
              </c:strCache>
            </c:strRef>
          </c:tx>
          <c:val>
            <c:numRef>
              <c:f>Sheet1!$C$4:$P$4</c:f>
              <c:numCache>
                <c:formatCode>#,##0.0</c:formatCode>
                <c:ptCount val="14"/>
                <c:pt idx="0">
                  <c:v>0.76650891370949759</c:v>
                </c:pt>
                <c:pt idx="1">
                  <c:v>0.83824257779386413</c:v>
                </c:pt>
                <c:pt idx="2">
                  <c:v>1.1439136680783901</c:v>
                </c:pt>
                <c:pt idx="3">
                  <c:v>1.3755332172421666</c:v>
                </c:pt>
                <c:pt idx="4">
                  <c:v>3.2469010905657991</c:v>
                </c:pt>
                <c:pt idx="5">
                  <c:v>3.1880337471329847</c:v>
                </c:pt>
                <c:pt idx="6">
                  <c:v>3.2</c:v>
                </c:pt>
                <c:pt idx="7">
                  <c:v>2.6</c:v>
                </c:pt>
                <c:pt idx="8">
                  <c:v>2.2999999999999998</c:v>
                </c:pt>
                <c:pt idx="9">
                  <c:v>1.6632178431022413</c:v>
                </c:pt>
                <c:pt idx="10">
                  <c:v>2.5793633419221362</c:v>
                </c:pt>
                <c:pt idx="11" formatCode="General">
                  <c:v>2.7222864193703584</c:v>
                </c:pt>
                <c:pt idx="12" formatCode="General">
                  <c:v>2.8576541934180884</c:v>
                </c:pt>
                <c:pt idx="13" formatCode="General">
                  <c:v>2.4213468780624732</c:v>
                </c:pt>
              </c:numCache>
            </c:numRef>
          </c:val>
          <c:smooth val="0"/>
        </c:ser>
        <c:dLbls>
          <c:showLegendKey val="0"/>
          <c:showVal val="0"/>
          <c:showCatName val="0"/>
          <c:showSerName val="0"/>
          <c:showPercent val="0"/>
          <c:showBubbleSize val="0"/>
        </c:dLbls>
        <c:marker val="1"/>
        <c:smooth val="0"/>
        <c:axId val="167742080"/>
        <c:axId val="167740544"/>
      </c:lineChart>
      <c:catAx>
        <c:axId val="167732736"/>
        <c:scaling>
          <c:orientation val="minMax"/>
        </c:scaling>
        <c:delete val="0"/>
        <c:axPos val="b"/>
        <c:numFmt formatCode="General" sourceLinked="1"/>
        <c:majorTickMark val="out"/>
        <c:minorTickMark val="none"/>
        <c:tickLblPos val="nextTo"/>
        <c:crossAx val="167734272"/>
        <c:crosses val="autoZero"/>
        <c:auto val="1"/>
        <c:lblAlgn val="ctr"/>
        <c:lblOffset val="100"/>
        <c:noMultiLvlLbl val="0"/>
      </c:catAx>
      <c:valAx>
        <c:axId val="167734272"/>
        <c:scaling>
          <c:orientation val="minMax"/>
        </c:scaling>
        <c:delete val="0"/>
        <c:axPos val="l"/>
        <c:majorGridlines/>
        <c:title>
          <c:tx>
            <c:rich>
              <a:bodyPr rot="-5400000" vert="horz"/>
              <a:lstStyle/>
              <a:p>
                <a:pPr>
                  <a:defRPr b="0"/>
                </a:pPr>
                <a:r>
                  <a:rPr lang="en-US" b="0"/>
                  <a:t>in Millions</a:t>
                </a:r>
              </a:p>
            </c:rich>
          </c:tx>
          <c:overlay val="0"/>
        </c:title>
        <c:numFmt formatCode="#,##0" sourceLinked="1"/>
        <c:majorTickMark val="out"/>
        <c:minorTickMark val="none"/>
        <c:tickLblPos val="nextTo"/>
        <c:crossAx val="167732736"/>
        <c:crosses val="autoZero"/>
        <c:crossBetween val="between"/>
      </c:valAx>
      <c:valAx>
        <c:axId val="167740544"/>
        <c:scaling>
          <c:orientation val="minMax"/>
        </c:scaling>
        <c:delete val="0"/>
        <c:axPos val="r"/>
        <c:numFmt formatCode="#,##0.0" sourceLinked="1"/>
        <c:majorTickMark val="out"/>
        <c:minorTickMark val="none"/>
        <c:tickLblPos val="nextTo"/>
        <c:crossAx val="167742080"/>
        <c:crosses val="max"/>
        <c:crossBetween val="between"/>
      </c:valAx>
      <c:catAx>
        <c:axId val="167742080"/>
        <c:scaling>
          <c:orientation val="minMax"/>
        </c:scaling>
        <c:delete val="1"/>
        <c:axPos val="b"/>
        <c:majorTickMark val="out"/>
        <c:minorTickMark val="none"/>
        <c:tickLblPos val="nextTo"/>
        <c:crossAx val="167740544"/>
        <c:crosses val="autoZero"/>
        <c:auto val="1"/>
        <c:lblAlgn val="ctr"/>
        <c:lblOffset val="100"/>
        <c:noMultiLvlLbl val="0"/>
      </c:catAx>
    </c:plotArea>
    <c:legend>
      <c:legendPos val="b"/>
      <c:overlay val="0"/>
    </c:legend>
    <c:plotVisOnly val="1"/>
    <c:dispBlanksAs val="gap"/>
    <c:showDLblsOverMax val="0"/>
  </c:chart>
  <c:spPr>
    <a:ln>
      <a:solidFill>
        <a:schemeClr val="bg1"/>
      </a:solid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sz="1600" b="0">
                <a:latin typeface="Times New Roman" panose="02020603050405020304" pitchFamily="18" charset="0"/>
                <a:cs typeface="Times New Roman" panose="02020603050405020304" pitchFamily="18" charset="0"/>
              </a:defRPr>
            </a:pPr>
            <a:r>
              <a:rPr lang="en-US" sz="1600" b="0">
                <a:latin typeface="Times New Roman" panose="02020603050405020304" pitchFamily="18" charset="0"/>
                <a:cs typeface="Times New Roman" panose="02020603050405020304" pitchFamily="18" charset="0"/>
              </a:rPr>
              <a:t>Sectors' Contribution to Industry, 2011</a:t>
            </a:r>
          </a:p>
        </c:rich>
      </c:tx>
      <c:overlay val="0"/>
    </c:title>
    <c:autoTitleDeleted val="0"/>
    <c:plotArea>
      <c:layout/>
      <c:barChart>
        <c:barDir val="bar"/>
        <c:grouping val="clustered"/>
        <c:varyColors val="0"/>
        <c:ser>
          <c:idx val="0"/>
          <c:order val="0"/>
          <c:invertIfNegative val="0"/>
          <c:cat>
            <c:strRef>
              <c:f>'[total industry by sectors.xls]Sheet2'!$D$7:$D$17</c:f>
              <c:strCache>
                <c:ptCount val="11"/>
                <c:pt idx="0">
                  <c:v>Mining</c:v>
                </c:pt>
                <c:pt idx="1">
                  <c:v>Non-metallic mineral products</c:v>
                </c:pt>
                <c:pt idx="2">
                  <c:v>Basic metals</c:v>
                </c:pt>
                <c:pt idx="3">
                  <c:v>Food products</c:v>
                </c:pt>
                <c:pt idx="4">
                  <c:v>Beverages</c:v>
                </c:pt>
                <c:pt idx="5">
                  <c:v>Tobacco products</c:v>
                </c:pt>
                <c:pt idx="6">
                  <c:v>Chemical products</c:v>
                </c:pt>
                <c:pt idx="7">
                  <c:v>Fabricated metal products</c:v>
                </c:pt>
                <c:pt idx="8">
                  <c:v>Electronic and optical products</c:v>
                </c:pt>
                <c:pt idx="9">
                  <c:v>Jewellery manufacture</c:v>
                </c:pt>
                <c:pt idx="10">
                  <c:v>Electricity</c:v>
                </c:pt>
              </c:strCache>
            </c:strRef>
          </c:cat>
          <c:val>
            <c:numRef>
              <c:f>'[total industry by sectors.xls]Sheet2'!$E$7:$E$17</c:f>
              <c:numCache>
                <c:formatCode>General</c:formatCode>
                <c:ptCount val="11"/>
                <c:pt idx="0" formatCode="0.0">
                  <c:v>196675.19999999998</c:v>
                </c:pt>
                <c:pt idx="1">
                  <c:v>54040.500000000007</c:v>
                </c:pt>
                <c:pt idx="2">
                  <c:v>159388.49999999997</c:v>
                </c:pt>
                <c:pt idx="3" formatCode="0.0">
                  <c:v>274488.7</c:v>
                </c:pt>
                <c:pt idx="4">
                  <c:v>113293.1</c:v>
                </c:pt>
                <c:pt idx="5">
                  <c:v>7536.7000000000007</c:v>
                </c:pt>
                <c:pt idx="6">
                  <c:v>12816.8</c:v>
                </c:pt>
                <c:pt idx="7">
                  <c:v>13392.400000000001</c:v>
                </c:pt>
                <c:pt idx="8">
                  <c:v>15577.8</c:v>
                </c:pt>
                <c:pt idx="9">
                  <c:v>19417.3</c:v>
                </c:pt>
                <c:pt idx="10" formatCode="0.0">
                  <c:v>13392.400000000001</c:v>
                </c:pt>
              </c:numCache>
            </c:numRef>
          </c:val>
        </c:ser>
        <c:dLbls>
          <c:showLegendKey val="0"/>
          <c:showVal val="0"/>
          <c:showCatName val="0"/>
          <c:showSerName val="0"/>
          <c:showPercent val="0"/>
          <c:showBubbleSize val="0"/>
        </c:dLbls>
        <c:gapWidth val="150"/>
        <c:axId val="167762560"/>
        <c:axId val="167850368"/>
      </c:barChart>
      <c:catAx>
        <c:axId val="167762560"/>
        <c:scaling>
          <c:orientation val="minMax"/>
        </c:scaling>
        <c:delete val="0"/>
        <c:axPos val="l"/>
        <c:majorTickMark val="none"/>
        <c:minorTickMark val="none"/>
        <c:tickLblPos val="nextTo"/>
        <c:crossAx val="167850368"/>
        <c:crosses val="autoZero"/>
        <c:auto val="1"/>
        <c:lblAlgn val="ctr"/>
        <c:lblOffset val="100"/>
        <c:noMultiLvlLbl val="0"/>
      </c:catAx>
      <c:valAx>
        <c:axId val="167850368"/>
        <c:scaling>
          <c:orientation val="minMax"/>
        </c:scaling>
        <c:delete val="0"/>
        <c:axPos val="b"/>
        <c:majorGridlines/>
        <c:numFmt formatCode="0.0" sourceLinked="1"/>
        <c:majorTickMark val="none"/>
        <c:minorTickMark val="none"/>
        <c:tickLblPos val="nextTo"/>
        <c:crossAx val="167762560"/>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b="0"/>
            </a:pPr>
            <a:r>
              <a:rPr lang="en-US" sz="1600" b="0"/>
              <a:t>Employment by Sector, 2011</a:t>
            </a:r>
          </a:p>
        </c:rich>
      </c:tx>
      <c:overlay val="0"/>
    </c:title>
    <c:autoTitleDeleted val="0"/>
    <c:plotArea>
      <c:layout/>
      <c:barChart>
        <c:barDir val="col"/>
        <c:grouping val="percentStacked"/>
        <c:varyColors val="0"/>
        <c:ser>
          <c:idx val="0"/>
          <c:order val="0"/>
          <c:tx>
            <c:strRef>
              <c:f>Sheet1!$D$1</c:f>
              <c:strCache>
                <c:ptCount val="1"/>
                <c:pt idx="0">
                  <c:v>Transportation</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Sheet1!$D$2:$D$12</c:f>
              <c:numCache>
                <c:formatCode>General</c:formatCode>
                <c:ptCount val="11"/>
                <c:pt idx="0">
                  <c:v>11.152882200000001</c:v>
                </c:pt>
                <c:pt idx="1">
                  <c:v>1.221374</c:v>
                </c:pt>
                <c:pt idx="2">
                  <c:v>1.5503876000000001</c:v>
                </c:pt>
                <c:pt idx="3">
                  <c:v>1.9039735</c:v>
                </c:pt>
                <c:pt idx="4">
                  <c:v>1.9920319</c:v>
                </c:pt>
                <c:pt idx="5">
                  <c:v>3.4707157999999998</c:v>
                </c:pt>
                <c:pt idx="6">
                  <c:v>4.1775456999999996</c:v>
                </c:pt>
                <c:pt idx="7">
                  <c:v>3.2825321999999999</c:v>
                </c:pt>
                <c:pt idx="8">
                  <c:v>3.2945736000000001</c:v>
                </c:pt>
                <c:pt idx="9">
                  <c:v>1.5810276999999999</c:v>
                </c:pt>
                <c:pt idx="10">
                  <c:v>2.8957529000000002</c:v>
                </c:pt>
              </c:numCache>
            </c:numRef>
          </c:val>
        </c:ser>
        <c:ser>
          <c:idx val="1"/>
          <c:order val="1"/>
          <c:tx>
            <c:strRef>
              <c:f>Sheet1!$E$1</c:f>
              <c:strCache>
                <c:ptCount val="1"/>
                <c:pt idx="0">
                  <c:v>Finance</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Sheet1!$E$2:$E$12</c:f>
              <c:numCache>
                <c:formatCode>General</c:formatCode>
                <c:ptCount val="11"/>
                <c:pt idx="0">
                  <c:v>2.6942355999999998</c:v>
                </c:pt>
                <c:pt idx="1">
                  <c:v>0.30534349999999999</c:v>
                </c:pt>
                <c:pt idx="2">
                  <c:v>0.25839790000000001</c:v>
                </c:pt>
                <c:pt idx="3">
                  <c:v>0.33112580000000003</c:v>
                </c:pt>
                <c:pt idx="4">
                  <c:v>0.29880479999999998</c:v>
                </c:pt>
                <c:pt idx="5">
                  <c:v>0.54229930000000004</c:v>
                </c:pt>
                <c:pt idx="6">
                  <c:v>0.52219320000000002</c:v>
                </c:pt>
                <c:pt idx="7">
                  <c:v>0.58616650000000003</c:v>
                </c:pt>
                <c:pt idx="8">
                  <c:v>0.58139529999999995</c:v>
                </c:pt>
                <c:pt idx="9">
                  <c:v>0.39525690000000002</c:v>
                </c:pt>
                <c:pt idx="10">
                  <c:v>0.38610040000000001</c:v>
                </c:pt>
              </c:numCache>
            </c:numRef>
          </c:val>
        </c:ser>
        <c:ser>
          <c:idx val="2"/>
          <c:order val="2"/>
          <c:tx>
            <c:strRef>
              <c:f>Sheet1!$F$1</c:f>
              <c:strCache>
                <c:ptCount val="1"/>
                <c:pt idx="0">
                  <c:v>Education</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Sheet1!$F$2:$F$12</c:f>
              <c:numCache>
                <c:formatCode>General</c:formatCode>
                <c:ptCount val="11"/>
                <c:pt idx="0">
                  <c:v>13.753132799999999</c:v>
                </c:pt>
                <c:pt idx="1">
                  <c:v>5.9541985000000004</c:v>
                </c:pt>
                <c:pt idx="2">
                  <c:v>5.7708871999999998</c:v>
                </c:pt>
                <c:pt idx="3">
                  <c:v>5.2152317999999998</c:v>
                </c:pt>
                <c:pt idx="4">
                  <c:v>6.8725100000000001</c:v>
                </c:pt>
                <c:pt idx="5">
                  <c:v>8.8937092999999994</c:v>
                </c:pt>
                <c:pt idx="6">
                  <c:v>9.1383811999999995</c:v>
                </c:pt>
                <c:pt idx="7">
                  <c:v>10.0820633</c:v>
                </c:pt>
                <c:pt idx="8">
                  <c:v>10.4651163</c:v>
                </c:pt>
                <c:pt idx="9">
                  <c:v>7.1146244999999997</c:v>
                </c:pt>
                <c:pt idx="10">
                  <c:v>8.3011583000000009</c:v>
                </c:pt>
              </c:numCache>
            </c:numRef>
          </c:val>
        </c:ser>
        <c:ser>
          <c:idx val="3"/>
          <c:order val="3"/>
          <c:tx>
            <c:strRef>
              <c:f>Sheet1!$G$1</c:f>
              <c:strCache>
                <c:ptCount val="1"/>
                <c:pt idx="0">
                  <c:v>Health</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Sheet1!$G$2:$G$12</c:f>
              <c:numCache>
                <c:formatCode>General</c:formatCode>
                <c:ptCount val="11"/>
                <c:pt idx="0">
                  <c:v>7.2681703999999998</c:v>
                </c:pt>
                <c:pt idx="1">
                  <c:v>1.8320611</c:v>
                </c:pt>
                <c:pt idx="2">
                  <c:v>2.2394487999999999</c:v>
                </c:pt>
                <c:pt idx="3">
                  <c:v>1.6556291000000001</c:v>
                </c:pt>
                <c:pt idx="4">
                  <c:v>2.2908366999999998</c:v>
                </c:pt>
                <c:pt idx="5">
                  <c:v>2.6030369000000002</c:v>
                </c:pt>
                <c:pt idx="6">
                  <c:v>2.6109661000000002</c:v>
                </c:pt>
                <c:pt idx="7">
                  <c:v>3.8686986999999999</c:v>
                </c:pt>
                <c:pt idx="8">
                  <c:v>3.4883720999999999</c:v>
                </c:pt>
                <c:pt idx="9">
                  <c:v>2.3715415000000002</c:v>
                </c:pt>
                <c:pt idx="10">
                  <c:v>2.3166023</c:v>
                </c:pt>
              </c:numCache>
            </c:numRef>
          </c:val>
        </c:ser>
        <c:ser>
          <c:idx val="4"/>
          <c:order val="4"/>
          <c:tx>
            <c:strRef>
              <c:f>Sheet1!$H$1</c:f>
              <c:strCache>
                <c:ptCount val="1"/>
                <c:pt idx="0">
                  <c:v>Mining</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Sheet1!$H$2:$H$12</c:f>
              <c:numCache>
                <c:formatCode>General</c:formatCode>
                <c:ptCount val="11"/>
                <c:pt idx="0">
                  <c:v>0.75007813300000004</c:v>
                </c:pt>
                <c:pt idx="1">
                  <c:v>3.7190082640000002</c:v>
                </c:pt>
                <c:pt idx="2">
                  <c:v>3.5646387829999999</c:v>
                </c:pt>
                <c:pt idx="3">
                  <c:v>0</c:v>
                </c:pt>
                <c:pt idx="4">
                  <c:v>24.01069519</c:v>
                </c:pt>
                <c:pt idx="5">
                  <c:v>12.27686703</c:v>
                </c:pt>
                <c:pt idx="6">
                  <c:v>1.8936077060000001</c:v>
                </c:pt>
                <c:pt idx="7">
                  <c:v>1.8140589570000001</c:v>
                </c:pt>
                <c:pt idx="8">
                  <c:v>64.330260300000006</c:v>
                </c:pt>
                <c:pt idx="9">
                  <c:v>2.0950846090000002</c:v>
                </c:pt>
                <c:pt idx="10">
                  <c:v>7.826576577</c:v>
                </c:pt>
              </c:numCache>
            </c:numRef>
          </c:val>
        </c:ser>
        <c:ser>
          <c:idx val="5"/>
          <c:order val="5"/>
          <c:tx>
            <c:strRef>
              <c:f>Sheet1!$I$1</c:f>
              <c:strCache>
                <c:ptCount val="1"/>
                <c:pt idx="0">
                  <c:v>Other</c:v>
                </c:pt>
              </c:strCache>
            </c:strRef>
          </c:tx>
          <c:invertIfNegative val="0"/>
          <c:cat>
            <c:strRef>
              <c:f>Sheet1!$C$2:$C$12</c:f>
              <c:strCache>
                <c:ptCount val="11"/>
                <c:pt idx="0">
                  <c:v>Yerevan</c:v>
                </c:pt>
                <c:pt idx="1">
                  <c:v>Aragatsotn</c:v>
                </c:pt>
                <c:pt idx="2">
                  <c:v>Ararat</c:v>
                </c:pt>
                <c:pt idx="3">
                  <c:v>Armavir</c:v>
                </c:pt>
                <c:pt idx="4">
                  <c:v>Gegharkunik</c:v>
                </c:pt>
                <c:pt idx="5">
                  <c:v>Lori</c:v>
                </c:pt>
                <c:pt idx="6">
                  <c:v>Kotayk</c:v>
                </c:pt>
                <c:pt idx="7">
                  <c:v>Shirak</c:v>
                </c:pt>
                <c:pt idx="8">
                  <c:v>Sjunik</c:v>
                </c:pt>
                <c:pt idx="9">
                  <c:v>Vayots Dzor</c:v>
                </c:pt>
                <c:pt idx="10">
                  <c:v>Tavush</c:v>
                </c:pt>
              </c:strCache>
            </c:strRef>
          </c:cat>
          <c:val>
            <c:numRef>
              <c:f>Sheet1!$I$2:$I$12</c:f>
              <c:numCache>
                <c:formatCode>General</c:formatCode>
                <c:ptCount val="11"/>
                <c:pt idx="0">
                  <c:v>41.416040099999996</c:v>
                </c:pt>
                <c:pt idx="1">
                  <c:v>9.4656488999999997</c:v>
                </c:pt>
                <c:pt idx="2">
                  <c:v>7.0628767999999997</c:v>
                </c:pt>
                <c:pt idx="3">
                  <c:v>10.0165563</c:v>
                </c:pt>
                <c:pt idx="4">
                  <c:v>7.9681274999999996</c:v>
                </c:pt>
                <c:pt idx="5">
                  <c:v>15.7266811</c:v>
                </c:pt>
                <c:pt idx="6">
                  <c:v>17.3629243</c:v>
                </c:pt>
                <c:pt idx="7">
                  <c:v>13.3645955</c:v>
                </c:pt>
                <c:pt idx="8">
                  <c:v>15.8914729</c:v>
                </c:pt>
                <c:pt idx="9">
                  <c:v>10.671936799999999</c:v>
                </c:pt>
                <c:pt idx="10">
                  <c:v>14.2857143</c:v>
                </c:pt>
              </c:numCache>
            </c:numRef>
          </c:val>
        </c:ser>
        <c:dLbls>
          <c:showLegendKey val="0"/>
          <c:showVal val="0"/>
          <c:showCatName val="0"/>
          <c:showSerName val="0"/>
          <c:showPercent val="0"/>
          <c:showBubbleSize val="0"/>
        </c:dLbls>
        <c:gapWidth val="150"/>
        <c:overlap val="100"/>
        <c:axId val="167879040"/>
        <c:axId val="167880576"/>
      </c:barChart>
      <c:catAx>
        <c:axId val="167879040"/>
        <c:scaling>
          <c:orientation val="minMax"/>
        </c:scaling>
        <c:delete val="0"/>
        <c:axPos val="b"/>
        <c:majorTickMark val="out"/>
        <c:minorTickMark val="none"/>
        <c:tickLblPos val="nextTo"/>
        <c:crossAx val="167880576"/>
        <c:crosses val="autoZero"/>
        <c:auto val="1"/>
        <c:lblAlgn val="ctr"/>
        <c:lblOffset val="100"/>
        <c:noMultiLvlLbl val="0"/>
      </c:catAx>
      <c:valAx>
        <c:axId val="167880576"/>
        <c:scaling>
          <c:orientation val="minMax"/>
        </c:scaling>
        <c:delete val="0"/>
        <c:axPos val="l"/>
        <c:majorGridlines/>
        <c:numFmt formatCode="0%" sourceLinked="1"/>
        <c:majorTickMark val="out"/>
        <c:minorTickMark val="none"/>
        <c:tickLblPos val="nextTo"/>
        <c:crossAx val="167879040"/>
        <c:crosses val="autoZero"/>
        <c:crossBetween val="between"/>
      </c:valAx>
    </c:plotArea>
    <c:legend>
      <c:legendPos val="t"/>
      <c:layout>
        <c:manualLayout>
          <c:xMode val="edge"/>
          <c:yMode val="edge"/>
          <c:x val="4.3265958220881036E-2"/>
          <c:y val="0.1476206315711043"/>
          <c:w val="0.93420315576513924"/>
          <c:h val="4.817437365997476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AE923B259B43938FC7D385CEB30E33"/>
        <w:category>
          <w:name w:val="General"/>
          <w:gallery w:val="placeholder"/>
        </w:category>
        <w:types>
          <w:type w:val="bbPlcHdr"/>
        </w:types>
        <w:behaviors>
          <w:behavior w:val="content"/>
        </w:behaviors>
        <w:guid w:val="{15DC8DAC-D1A5-465F-8C9D-37B6F2B981C1}"/>
      </w:docPartPr>
      <w:docPartBody>
        <w:p w:rsidR="0000782B" w:rsidRDefault="00E3195A" w:rsidP="00E3195A">
          <w:pPr>
            <w:pStyle w:val="BBAE923B259B43938FC7D385CEB30E33"/>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95A"/>
    <w:rsid w:val="0000782B"/>
    <w:rsid w:val="003E3F66"/>
    <w:rsid w:val="00A61330"/>
    <w:rsid w:val="00E31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5F86EFD5D48A0AB520BDE7D5538B5">
    <w:name w:val="63F5F86EFD5D48A0AB520BDE7D5538B5"/>
    <w:rsid w:val="00E3195A"/>
  </w:style>
  <w:style w:type="paragraph" w:customStyle="1" w:styleId="BBAE923B259B43938FC7D385CEB30E33">
    <w:name w:val="BBAE923B259B43938FC7D385CEB30E33"/>
    <w:rsid w:val="00E3195A"/>
  </w:style>
  <w:style w:type="paragraph" w:customStyle="1" w:styleId="E4B7EB01656D4D9B9C51E5D216D74DEE">
    <w:name w:val="E4B7EB01656D4D9B9C51E5D216D74DEE"/>
    <w:rsid w:val="00E3195A"/>
  </w:style>
  <w:style w:type="paragraph" w:customStyle="1" w:styleId="E12FB60103364795A35A7FA9A9C0F482">
    <w:name w:val="E12FB60103364795A35A7FA9A9C0F482"/>
    <w:rsid w:val="00E3195A"/>
  </w:style>
  <w:style w:type="paragraph" w:customStyle="1" w:styleId="257944167BE24861A245274965CC1C3F">
    <w:name w:val="257944167BE24861A245274965CC1C3F"/>
    <w:rsid w:val="00E3195A"/>
  </w:style>
  <w:style w:type="paragraph" w:customStyle="1" w:styleId="144FC430498C4D9DBB381EF6A58F0EE7">
    <w:name w:val="144FC430498C4D9DBB381EF6A58F0EE7"/>
    <w:rsid w:val="00E3195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5F86EFD5D48A0AB520BDE7D5538B5">
    <w:name w:val="63F5F86EFD5D48A0AB520BDE7D5538B5"/>
    <w:rsid w:val="00E3195A"/>
  </w:style>
  <w:style w:type="paragraph" w:customStyle="1" w:styleId="BBAE923B259B43938FC7D385CEB30E33">
    <w:name w:val="BBAE923B259B43938FC7D385CEB30E33"/>
    <w:rsid w:val="00E3195A"/>
  </w:style>
  <w:style w:type="paragraph" w:customStyle="1" w:styleId="E4B7EB01656D4D9B9C51E5D216D74DEE">
    <w:name w:val="E4B7EB01656D4D9B9C51E5D216D74DEE"/>
    <w:rsid w:val="00E3195A"/>
  </w:style>
  <w:style w:type="paragraph" w:customStyle="1" w:styleId="E12FB60103364795A35A7FA9A9C0F482">
    <w:name w:val="E12FB60103364795A35A7FA9A9C0F482"/>
    <w:rsid w:val="00E3195A"/>
  </w:style>
  <w:style w:type="paragraph" w:customStyle="1" w:styleId="257944167BE24861A245274965CC1C3F">
    <w:name w:val="257944167BE24861A245274965CC1C3F"/>
    <w:rsid w:val="00E3195A"/>
  </w:style>
  <w:style w:type="paragraph" w:customStyle="1" w:styleId="144FC430498C4D9DBB381EF6A58F0EE7">
    <w:name w:val="144FC430498C4D9DBB381EF6A58F0EE7"/>
    <w:rsid w:val="00E31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38447D-BF55-4EAB-9E76-B58016E9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Pages>
  <Words>7903</Words>
  <Characters>45052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Dutch Disease in Armenia: by Sector Study</vt:lpstr>
    </vt:vector>
  </TitlesOfParts>
  <Company>American University of Armenia</Company>
  <LinksUpToDate>false</LinksUpToDate>
  <CharactersWithSpaces>52850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Dutch Disease in Armenia: by Sector Study</dc:title>
  <dc:subject/>
  <dc:creator>Arpine Sahakyan</dc:creator>
  <cp:keywords/>
  <dc:description/>
  <cp:lastModifiedBy>Arpi</cp:lastModifiedBy>
  <cp:revision>338</cp:revision>
  <cp:lastPrinted>2014-10-13T14:09:00Z</cp:lastPrinted>
  <dcterms:created xsi:type="dcterms:W3CDTF">2014-09-16T21:18:00Z</dcterms:created>
  <dcterms:modified xsi:type="dcterms:W3CDTF">2015-06-15T02:08:00Z</dcterms:modified>
</cp:coreProperties>
</file>